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BE" w:rsidRDefault="00A364E0">
      <w:pPr>
        <w:pStyle w:val="20"/>
        <w:keepNext/>
        <w:keepLines/>
        <w:shd w:val="clear" w:color="auto" w:fill="auto"/>
        <w:ind w:right="20"/>
      </w:pPr>
      <w:bookmarkStart w:id="0" w:name="bookmark0"/>
      <w:r>
        <w:t>Расчет тарифа на водоотведение экономически обоснованным методом</w:t>
      </w:r>
      <w:r>
        <w:br/>
        <w:t>для потребителей ООО "</w:t>
      </w:r>
      <w:proofErr w:type="spellStart"/>
      <w:r>
        <w:t>Энергосфера</w:t>
      </w:r>
      <w:proofErr w:type="spellEnd"/>
      <w:r>
        <w:t xml:space="preserve"> - Иркутск”, оказывающего услуги на территории</w:t>
      </w:r>
      <w:r>
        <w:br/>
        <w:t>Вихоревского муниципального образования Братского района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067"/>
        <w:gridCol w:w="768"/>
        <w:gridCol w:w="763"/>
        <w:gridCol w:w="2131"/>
        <w:gridCol w:w="758"/>
        <w:gridCol w:w="763"/>
        <w:gridCol w:w="778"/>
      </w:tblGrid>
      <w:tr w:rsidR="00FA51BE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№ </w:t>
            </w:r>
            <w:proofErr w:type="gramStart"/>
            <w:r>
              <w:rPr>
                <w:rStyle w:val="255pt"/>
              </w:rPr>
              <w:t>п</w:t>
            </w:r>
            <w:proofErr w:type="gramEnd"/>
            <w:r>
              <w:rPr>
                <w:rStyle w:val="255pt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Наименование показателя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Единица</w:t>
            </w:r>
          </w:p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измерений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</w:rPr>
              <w:t xml:space="preserve">По </w:t>
            </w:r>
            <w:r>
              <w:rPr>
                <w:rStyle w:val="255pt"/>
              </w:rPr>
              <w:t>расчету экспертов Службы на 2017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</w:rPr>
              <w:t>Основания, по которым произведен расчет экспертами регулирующего органа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</w:rPr>
              <w:t>Рост по отношению к базовому периоду,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2018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2019 год</w:t>
            </w:r>
          </w:p>
        </w:tc>
      </w:tr>
      <w:tr w:rsidR="00FA51B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0"/>
              </w:rPr>
              <w:t>Баланс:</w:t>
            </w:r>
          </w:p>
        </w:tc>
      </w:tr>
      <w:tr w:rsidR="00FA51BE" w:rsidTr="0092452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Пропущено сточных вод всего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куб.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1729500,00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55pt"/>
              </w:rPr>
              <w:t xml:space="preserve">В связи с тем, что </w:t>
            </w:r>
            <w:r>
              <w:rPr>
                <w:rStyle w:val="255pt"/>
              </w:rPr>
              <w:t>Предприятием не представлен обоснованный расчёт объёма принятых сточных вод, объём стоков принят на уровне, учтённом в действующем тарифе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 w:rsidP="00924527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1 729 500,0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1 729 500,0</w:t>
            </w:r>
          </w:p>
        </w:tc>
      </w:tr>
      <w:tr w:rsidR="00FA51BE" w:rsidTr="0092452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Пропущено через собственные очистные сооружения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куб.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1729500,00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55pt"/>
              </w:rPr>
              <w:t xml:space="preserve">В связи с тем, что </w:t>
            </w:r>
            <w:r>
              <w:rPr>
                <w:rStyle w:val="255pt"/>
              </w:rPr>
              <w:t>Предприятием не представлен обоснованный расчёт объёма принятых сточных вод, объём стоков принят на уровне, учтённом в действующем тарифе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 w:rsidP="00924527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1 729 500,0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1 729 500,0</w:t>
            </w:r>
          </w:p>
        </w:tc>
      </w:tr>
      <w:tr w:rsidR="00FA51BE" w:rsidTr="0092452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Передано сточных вод другим канализациям: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куб.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 w:rsidP="00924527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#ДЕЛ/0!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0,0</w:t>
            </w:r>
          </w:p>
        </w:tc>
      </w:tr>
      <w:tr w:rsidR="00FA51BE" w:rsidTr="0092452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 xml:space="preserve">Сброшено </w:t>
            </w:r>
            <w:r>
              <w:rPr>
                <w:rStyle w:val="255pt"/>
              </w:rPr>
              <w:t>стоков без очистки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куб.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 w:rsidP="00924527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#ДЕЛ/0!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0,0</w:t>
            </w:r>
          </w:p>
        </w:tc>
      </w:tr>
      <w:tr w:rsidR="00FA51BE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0"/>
              </w:rPr>
              <w:t>Расчет необходимой валовой выручки:</w:t>
            </w:r>
          </w:p>
        </w:tc>
      </w:tr>
      <w:tr w:rsidR="00FA51BE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Является плательщиком НДС (да/нет)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нет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B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255pt"/>
              </w:rPr>
              <w:t xml:space="preserve">Т </w:t>
            </w:r>
            <w:proofErr w:type="spellStart"/>
            <w:r>
              <w:rPr>
                <w:rStyle w:val="255pt"/>
              </w:rPr>
              <w:t>екущие</w:t>
            </w:r>
            <w:proofErr w:type="spellEnd"/>
            <w:proofErr w:type="gramEnd"/>
            <w:r>
              <w:rPr>
                <w:rStyle w:val="255pt"/>
              </w:rPr>
              <w:t xml:space="preserve">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58027,30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По нижеприведенным основаниям.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97%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54 610,8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56 227,3</w:t>
            </w:r>
          </w:p>
        </w:tc>
      </w:tr>
      <w:tr w:rsidR="00FA51BE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Операционные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тыс.</w:t>
            </w:r>
            <w:r>
              <w:rPr>
                <w:rStyle w:val="255pt"/>
              </w:rPr>
              <w:t xml:space="preserve">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52686,20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По нижеприведенным основаниям.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97%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54 610,8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56 227,3</w:t>
            </w:r>
          </w:p>
        </w:tc>
      </w:tr>
      <w:tr w:rsidR="00FA51BE" w:rsidTr="0092452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ind w:left="360"/>
            </w:pPr>
            <w:r>
              <w:rPr>
                <w:rStyle w:val="255pt"/>
              </w:rPr>
              <w:t>индекс эффективности операционных расходов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0,01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#</w:t>
            </w:r>
            <w:proofErr w:type="gramStart"/>
            <w:r>
              <w:rPr>
                <w:rStyle w:val="255pt"/>
              </w:rPr>
              <w:t>ЗНАЧ</w:t>
            </w:r>
            <w:proofErr w:type="gramEnd"/>
            <w:r>
              <w:rPr>
                <w:rStyle w:val="255pt"/>
              </w:rPr>
              <w:t>!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1,0%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1,0%</w:t>
            </w:r>
          </w:p>
        </w:tc>
      </w:tr>
      <w:tr w:rsidR="00FA51BE" w:rsidTr="0092452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ind w:left="360"/>
            </w:pPr>
            <w:r>
              <w:rPr>
                <w:rStyle w:val="255pt"/>
              </w:rPr>
              <w:t>индекс потребительских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1,05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55pt"/>
              </w:rPr>
              <w:t xml:space="preserve">В соответствии </w:t>
            </w:r>
            <w:proofErr w:type="gramStart"/>
            <w:r>
              <w:rPr>
                <w:rStyle w:val="255pt"/>
              </w:rPr>
              <w:t>со</w:t>
            </w:r>
            <w:proofErr w:type="gramEnd"/>
            <w:r>
              <w:rPr>
                <w:rStyle w:val="255pt"/>
              </w:rPr>
              <w:t xml:space="preserve"> основными параметрами прогноза </w:t>
            </w:r>
            <w:proofErr w:type="spellStart"/>
            <w:r>
              <w:rPr>
                <w:rStyle w:val="255pt"/>
              </w:rPr>
              <w:t>социально</w:t>
            </w:r>
            <w:r>
              <w:rPr>
                <w:rStyle w:val="255pt"/>
              </w:rPr>
              <w:softHyphen/>
              <w:t>экономического</w:t>
            </w:r>
            <w:proofErr w:type="spellEnd"/>
            <w:r>
              <w:rPr>
                <w:rStyle w:val="255pt"/>
              </w:rPr>
              <w:t xml:space="preserve"> развития</w:t>
            </w:r>
            <w:r>
              <w:rPr>
                <w:rStyle w:val="255pt"/>
              </w:rPr>
              <w:t xml:space="preserve"> РФ.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 w:rsidP="00924527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91%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104,0%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104,0%</w:t>
            </w:r>
          </w:p>
        </w:tc>
      </w:tr>
      <w:tr w:rsidR="00FA51BE" w:rsidTr="0092452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1.1.1.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Производственные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31301,30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По нижеприведенным основаниям.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 w:rsidP="00924527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103%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BE" w:rsidTr="00924527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1.1.2.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t>Ремонтные 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19237,00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BE" w:rsidRDefault="00A364E0" w:rsidP="00924527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93%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BE" w:rsidTr="00924527">
        <w:tblPrEx>
          <w:tblCellMar>
            <w:top w:w="0" w:type="dxa"/>
            <w:bottom w:w="0" w:type="dxa"/>
          </w:tblCellMar>
        </w:tblPrEx>
        <w:trPr>
          <w:trHeight w:hRule="exact" w:val="61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1.1.2.1.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49" w:lineRule="exact"/>
              <w:ind w:left="200"/>
            </w:pPr>
            <w:r>
              <w:rPr>
                <w:rStyle w:val="255pt"/>
              </w:rPr>
              <w:t xml:space="preserve">Расходы на текущий ремонт централизованных систем водоотведения либо объектов, </w:t>
            </w:r>
            <w:r>
              <w:rPr>
                <w:rStyle w:val="255pt"/>
              </w:rPr>
              <w:t>входящих в состав таких систем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6007,96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BE" w:rsidRDefault="00A364E0">
            <w:pPr>
              <w:pStyle w:val="22"/>
              <w:framePr w:w="9749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55pt"/>
              </w:rPr>
              <w:t xml:space="preserve">Расходы, заявленные Предприятием, не могут быть признаны экономически обоснованными по следующим </w:t>
            </w:r>
            <w:proofErr w:type="spellStart"/>
            <w:r>
              <w:rPr>
                <w:rStyle w:val="255pt"/>
              </w:rPr>
              <w:t>основаниям</w:t>
            </w:r>
            <w:proofErr w:type="gramStart"/>
            <w:r>
              <w:rPr>
                <w:rStyle w:val="255pt"/>
              </w:rPr>
              <w:t>.Д</w:t>
            </w:r>
            <w:proofErr w:type="gramEnd"/>
            <w:r>
              <w:rPr>
                <w:rStyle w:val="255pt"/>
              </w:rPr>
              <w:t>ля</w:t>
            </w:r>
            <w:proofErr w:type="spellEnd"/>
            <w:r>
              <w:rPr>
                <w:rStyle w:val="255pt"/>
              </w:rPr>
              <w:t xml:space="preserve"> проведения ремонтных работ необходимо составлять ведомости дефектов, составлять на каждый вид </w:t>
            </w:r>
            <w:r>
              <w:rPr>
                <w:rStyle w:val="255pt"/>
              </w:rPr>
              <w:t xml:space="preserve">оборудования спецификации запасных частей и </w:t>
            </w:r>
            <w:proofErr w:type="spellStart"/>
            <w:r>
              <w:rPr>
                <w:rStyle w:val="255pt"/>
              </w:rPr>
              <w:t>материлов</w:t>
            </w:r>
            <w:proofErr w:type="spellEnd"/>
            <w:r>
              <w:rPr>
                <w:rStyle w:val="255pt"/>
              </w:rPr>
              <w:t>. На все виды оборудования необходимо составлять годовые планы ремонтов. Годовые планы утверждаются руководителем. По итогам анализа представленных материалов установлено, что Предприятием не предоставле</w:t>
            </w:r>
            <w:r>
              <w:rPr>
                <w:rStyle w:val="255pt"/>
              </w:rPr>
              <w:t>ны акты обследования, дефектные ведомости, сметные расчеты, соответственно необходимость проведения мероприятий по текущему ремонту и техническому обслуживанию Предприятием не обоснована. Кроме того, Предприятием не представлено обоснование цен, в соответс</w:t>
            </w:r>
            <w:r>
              <w:rPr>
                <w:rStyle w:val="255pt"/>
              </w:rPr>
              <w:t xml:space="preserve">твии с п. 22 основ ценообразования. Вместе с тем, учитывая объективную необходимость проведения ремонтных работ и работ по техническому </w:t>
            </w:r>
            <w:proofErr w:type="spellStart"/>
            <w:r>
              <w:rPr>
                <w:rStyle w:val="255pt"/>
              </w:rPr>
              <w:t>обслуживаниюоборудования</w:t>
            </w:r>
            <w:proofErr w:type="spellEnd"/>
            <w:r>
              <w:rPr>
                <w:rStyle w:val="255pt"/>
              </w:rPr>
              <w:t xml:space="preserve">, в расчет приняты расходы, утвержденные в действующем </w:t>
            </w:r>
            <w:proofErr w:type="spellStart"/>
            <w:r>
              <w:rPr>
                <w:rStyle w:val="255pt"/>
              </w:rPr>
              <w:t>тарифе</w:t>
            </w:r>
            <w:proofErr w:type="gramStart"/>
            <w:r>
              <w:rPr>
                <w:rStyle w:val="255pt"/>
              </w:rPr>
              <w:t>.К</w:t>
            </w:r>
            <w:proofErr w:type="gramEnd"/>
            <w:r>
              <w:rPr>
                <w:rStyle w:val="255pt"/>
              </w:rPr>
              <w:t>роме</w:t>
            </w:r>
            <w:proofErr w:type="spellEnd"/>
            <w:r>
              <w:rPr>
                <w:rStyle w:val="255pt"/>
              </w:rPr>
              <w:t xml:space="preserve"> того, объемы работ не предус</w:t>
            </w:r>
            <w:r>
              <w:rPr>
                <w:rStyle w:val="255pt"/>
              </w:rPr>
              <w:t>мотрены производственной программой.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BE" w:rsidRDefault="00A364E0" w:rsidP="00924527">
            <w:pPr>
              <w:pStyle w:val="22"/>
              <w:framePr w:w="974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BE" w:rsidRDefault="00FA51BE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51BE" w:rsidRDefault="00FA51BE">
      <w:pPr>
        <w:framePr w:w="9749" w:wrap="notBeside" w:vAnchor="text" w:hAnchor="text" w:xAlign="center" w:y="1"/>
        <w:rPr>
          <w:sz w:val="2"/>
          <w:szCs w:val="2"/>
        </w:rPr>
      </w:pPr>
    </w:p>
    <w:p w:rsidR="00FA51BE" w:rsidRDefault="00FA51BE">
      <w:pPr>
        <w:rPr>
          <w:sz w:val="2"/>
          <w:szCs w:val="2"/>
        </w:rPr>
      </w:pPr>
    </w:p>
    <w:p w:rsidR="00FA51BE" w:rsidRDefault="00FA51BE">
      <w:pPr>
        <w:rPr>
          <w:sz w:val="2"/>
          <w:szCs w:val="2"/>
        </w:rPr>
        <w:sectPr w:rsidR="00FA51BE" w:rsidSect="00924527">
          <w:headerReference w:type="default" r:id="rId7"/>
          <w:headerReference w:type="first" r:id="rId8"/>
          <w:pgSz w:w="11900" w:h="16840"/>
          <w:pgMar w:top="1560" w:right="1148" w:bottom="709" w:left="1004" w:header="0" w:footer="3" w:gutter="0"/>
          <w:cols w:space="720"/>
          <w:noEndnote/>
          <w:titlePg/>
          <w:docGrid w:linePitch="360"/>
        </w:sectPr>
      </w:pPr>
    </w:p>
    <w:p w:rsidR="00FA51BE" w:rsidRDefault="00A364E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05pt;margin-top:0;width:487.4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3067"/>
                    <w:gridCol w:w="768"/>
                    <w:gridCol w:w="763"/>
                    <w:gridCol w:w="2131"/>
                    <w:gridCol w:w="758"/>
                    <w:gridCol w:w="763"/>
                    <w:gridCol w:w="778"/>
                  </w:tblGrid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8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Style w:val="255pt"/>
                          </w:rPr>
                          <w:t>п</w:t>
                        </w:r>
                        <w:proofErr w:type="gramEnd"/>
                        <w:r>
                          <w:rPr>
                            <w:rStyle w:val="255pt"/>
                          </w:rPr>
                          <w:t>/п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Единица</w:t>
                        </w:r>
                      </w:p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измерений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49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По расчету экспертов Службы на 2017 год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49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Основания, по которым произведен расчет экспертами регулирующего органа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49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Рост по отношению к базовому периоду, 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2018 год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2019 год</w:t>
                        </w: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92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1.1.2.2.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49" w:lineRule="exact"/>
                          <w:ind w:left="200"/>
                        </w:pPr>
                        <w:r>
                          <w:rPr>
                            <w:rStyle w:val="255pt"/>
                          </w:rPr>
                          <w:t xml:space="preserve">Расходы на капитальный ремонт </w:t>
                        </w:r>
                        <w:r>
                          <w:rPr>
                            <w:rStyle w:val="255pt"/>
                          </w:rPr>
                          <w:t>централизованных систем водоотведения либо объектов, входящих в состав таких систем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тыс. руб.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3544,19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49" w:lineRule="exact"/>
                        </w:pPr>
                        <w:proofErr w:type="gramStart"/>
                        <w:r>
                          <w:rPr>
                            <w:rStyle w:val="255pt"/>
                          </w:rPr>
                          <w:t xml:space="preserve">По итогам анализа представленных </w:t>
                        </w:r>
                        <w:proofErr w:type="spellStart"/>
                        <w:r>
                          <w:rPr>
                            <w:rStyle w:val="255pt"/>
                          </w:rPr>
                          <w:t>материаловрасходы</w:t>
                        </w:r>
                        <w:proofErr w:type="spellEnd"/>
                        <w:r>
                          <w:rPr>
                            <w:rStyle w:val="255pt"/>
                          </w:rPr>
                          <w:t xml:space="preserve"> не могут быть признаны экономически обоснованными, т.к. представленная производственная программа не от</w:t>
                        </w:r>
                        <w:r>
                          <w:rPr>
                            <w:rStyle w:val="255pt"/>
                          </w:rPr>
                          <w:t>вечает требованиям, утвержденным ПП РФ от 29.07.2013г № 641 "Об инвестиционных и производственных программах организаций, осуществляющей деятельность в сфере водоснабжения и водоотведения".</w:t>
                        </w:r>
                        <w:proofErr w:type="gramEnd"/>
                        <w:r>
                          <w:rPr>
                            <w:rStyle w:val="255pt"/>
                          </w:rPr>
                          <w:t xml:space="preserve"> Орган регулирования принимает первоочередные мероприятия по капита</w:t>
                        </w:r>
                        <w:r>
                          <w:rPr>
                            <w:rStyle w:val="255pt"/>
                          </w:rPr>
                          <w:t xml:space="preserve">льному ремонту на сумму 3544,19 </w:t>
                        </w:r>
                        <w:proofErr w:type="spellStart"/>
                        <w:r>
                          <w:rPr>
                            <w:rStyle w:val="255pt"/>
                          </w:rPr>
                          <w:t>т.р</w:t>
                        </w:r>
                        <w:proofErr w:type="spellEnd"/>
                        <w:r>
                          <w:rPr>
                            <w:rStyle w:val="255pt"/>
                          </w:rPr>
                          <w:t xml:space="preserve">. В случае </w:t>
                        </w:r>
                        <w:proofErr w:type="spellStart"/>
                        <w:r>
                          <w:rPr>
                            <w:rStyle w:val="255pt"/>
                          </w:rPr>
                          <w:t>неподтверждения</w:t>
                        </w:r>
                        <w:proofErr w:type="spellEnd"/>
                        <w:r>
                          <w:rPr>
                            <w:rStyle w:val="255pt"/>
                          </w:rPr>
                          <w:t xml:space="preserve"> заявленных затрат фактически понесенными расходами с предоставлением бухгалтерской документации, указанные расходы будут исключены в полном объеме в следующем периоде регулирования.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53%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1.1.3.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Административные расходы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тыс. руб.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2147,90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65%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1.2.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ind w:right="580"/>
                          <w:jc w:val="right"/>
                        </w:pPr>
                        <w:r>
                          <w:rPr>
                            <w:rStyle w:val="255pt"/>
                          </w:rPr>
                          <w:t>Расходы на электрическую энергию и мощность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тыс. руб.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4139,98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Расшифровка приведена ниже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84%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5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1.2.3.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ind w:right="580"/>
                          <w:jc w:val="right"/>
                        </w:pPr>
                        <w:r>
                          <w:rPr>
                            <w:rStyle w:val="255pt"/>
                          </w:rPr>
                          <w:t>Удельный расход электрической энергии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proofErr w:type="gramStart"/>
                        <w:r>
                          <w:rPr>
                            <w:rStyle w:val="255pt"/>
                          </w:rPr>
                          <w:t>кВт-ч</w:t>
                        </w:r>
                        <w:proofErr w:type="gramEnd"/>
                        <w:r>
                          <w:rPr>
                            <w:rStyle w:val="255pt"/>
                          </w:rPr>
                          <w:t>/куб. м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0,86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49" w:lineRule="exact"/>
                        </w:pPr>
                        <w:proofErr w:type="gramStart"/>
                        <w:r>
                          <w:rPr>
                            <w:rStyle w:val="255pt"/>
                          </w:rPr>
                          <w:t>Определен</w:t>
                        </w:r>
                        <w:proofErr w:type="gramEnd"/>
                        <w:r>
                          <w:rPr>
                            <w:rStyle w:val="255pt"/>
                          </w:rPr>
                          <w:t xml:space="preserve"> исходя из объема </w:t>
                        </w:r>
                        <w:r>
                          <w:rPr>
                            <w:rStyle w:val="255pt"/>
                          </w:rPr>
                          <w:t>потребления электрической энергии в расчете на единицу объема сточных вод, принятых в канализационную сеть.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83%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0,9</w:t>
                        </w: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1.3.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Неподконтрольные расходы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тыс. руб.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1201,10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Расшифровка приведена ниже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136%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1.3.2.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</w:pPr>
                        <w:r>
                          <w:rPr>
                            <w:rStyle w:val="255pt"/>
                          </w:rPr>
                          <w:t xml:space="preserve">Расходы на уплату налогов, сборов и </w:t>
                        </w:r>
                        <w:r>
                          <w:rPr>
                            <w:rStyle w:val="255pt"/>
                          </w:rPr>
                          <w:t>других обязательных платежей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тыс. руб.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574,50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Расшифровка приведена ниже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65%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87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1.3.3.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49" w:lineRule="exact"/>
                        </w:pPr>
                        <w:r>
                          <w:rPr>
                            <w:rStyle w:val="255pt"/>
                          </w:rPr>
                          <w:t>Расходы на арендную плату, концессионную плату и лизинговые платежи в отношении централизованных систем водоотведения либо объектов, входящих в состав таких систем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тыс. руб.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626,55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49" w:lineRule="exact"/>
                        </w:pPr>
                        <w:r>
                          <w:rPr>
                            <w:rStyle w:val="255pt"/>
                          </w:rPr>
                          <w:t>По итогам анализа представленных документов в расчет принята сумма амортизации по оборудованию, прямо относящемуся к процессу водоотведения. Дополнительно представлены инвентарные карточки учета ОС.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#ДЕЛ/0!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Амортизация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тыс. руб.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#ДЕЛ/0!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3.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Нормативная прибыль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тыс. руб.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Расшифровка приведена ниже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#ДЕЛ/0!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4.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49" w:lineRule="exact"/>
                        </w:pPr>
                        <w:r>
                          <w:rPr>
                            <w:rStyle w:val="255pt"/>
                          </w:rPr>
                          <w:t>Расчетная предпринимательская прибыль гарантирующей организации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тыс. руб.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2872,60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8" w:lineRule="exact"/>
                        </w:pPr>
                        <w:proofErr w:type="gramStart"/>
                        <w:r>
                          <w:rPr>
                            <w:rStyle w:val="255pt"/>
                          </w:rPr>
                          <w:t>Рассчитана</w:t>
                        </w:r>
                        <w:proofErr w:type="gramEnd"/>
                        <w:r>
                          <w:rPr>
                            <w:rStyle w:val="255pt"/>
                          </w:rPr>
                          <w:t xml:space="preserve"> в соответствии с п.47(1) Основ ценообразования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97%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5.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Необходимая валовая выручка (НДС не облагается)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тыс. руб.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60899,90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По вышеприведенным основаниям.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 w:rsidP="00924527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97%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54 610,8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56 227,3</w:t>
                        </w: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6.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0"/>
                          </w:rPr>
                          <w:t>Тариф (НДС не облагается)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0"/>
                          </w:rPr>
                          <w:t>руб./куб. м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0"/>
                          </w:rPr>
                          <w:t>35,21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49" w:lineRule="exact"/>
                        </w:pPr>
                        <w:proofErr w:type="gramStart"/>
                        <w:r>
                          <w:rPr>
                            <w:rStyle w:val="255pt"/>
                          </w:rPr>
                          <w:t>Определен</w:t>
                        </w:r>
                        <w:proofErr w:type="gramEnd"/>
                        <w:r>
                          <w:rPr>
                            <w:rStyle w:val="255pt"/>
                          </w:rPr>
                          <w:t xml:space="preserve"> исходя из принятой необходимой валовой выручки и объема полезного отпуска </w:t>
                        </w:r>
                        <w:r>
                          <w:rPr>
                            <w:rStyle w:val="255pt"/>
                          </w:rPr>
                          <w:t>услуг.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FA51BE" w:rsidP="00924527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0"/>
                          </w:rPr>
                          <w:t>31,58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0"/>
                          </w:rPr>
                          <w:t>32,51</w:t>
                        </w:r>
                      </w:p>
                    </w:tc>
                  </w:tr>
                  <w:tr w:rsidR="00FA51BE" w:rsidTr="009245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7.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proofErr w:type="gramStart"/>
                        <w:r>
                          <w:rPr>
                            <w:rStyle w:val="255pt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rStyle w:val="255pt"/>
                          </w:rPr>
                          <w:t>емп</w:t>
                        </w:r>
                        <w:proofErr w:type="spellEnd"/>
                        <w:proofErr w:type="gramEnd"/>
                        <w:r>
                          <w:rPr>
                            <w:rStyle w:val="255pt"/>
                          </w:rPr>
                          <w:t xml:space="preserve"> роста тарифа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0,97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FA51BE" w:rsidP="00924527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89,7%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103,0%</w:t>
                        </w:r>
                      </w:p>
                    </w:tc>
                  </w:tr>
                </w:tbl>
                <w:p w:rsidR="00FA51BE" w:rsidRDefault="00FA51B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5pt;margin-top:508.55pt;width:180.25pt;height:10.55pt;z-index:251657729;mso-wrap-distance-left:5pt;mso-wrap-distance-right:5pt;mso-position-horizontal-relative:margin" filled="f" stroked="f">
            <v:textbox style="mso-fit-shape-to-text:t" inset="0,0,0,0">
              <w:txbxContent>
                <w:p w:rsidR="00FA51BE" w:rsidRDefault="00FA51BE">
                  <w:pPr>
                    <w:pStyle w:val="22"/>
                    <w:shd w:val="clear" w:color="auto" w:fill="auto"/>
                    <w:spacing w:line="15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24pt;margin-top:508.55pt;width:48.7pt;height:20.2pt;z-index:251657730;mso-wrap-distance-left:5pt;mso-wrap-distance-right:5pt;mso-position-horizontal-relative:margin" filled="f" stroked="f">
            <v:textbox style="mso-fit-shape-to-text:t" inset="0,0,0,0">
              <w:txbxContent>
                <w:p w:rsidR="00FA51BE" w:rsidRDefault="00FA51BE" w:rsidP="00924527">
                  <w:pPr>
                    <w:pStyle w:val="22"/>
                    <w:shd w:val="clear" w:color="auto" w:fill="auto"/>
                    <w:spacing w:after="11" w:line="150" w:lineRule="exact"/>
                  </w:pPr>
                </w:p>
              </w:txbxContent>
            </v:textbox>
            <w10:wrap anchorx="margin"/>
          </v:shape>
        </w:pict>
      </w: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458" w:lineRule="exact"/>
      </w:pPr>
    </w:p>
    <w:p w:rsidR="00FA51BE" w:rsidRDefault="00FA51BE">
      <w:pPr>
        <w:rPr>
          <w:sz w:val="2"/>
          <w:szCs w:val="2"/>
        </w:rPr>
        <w:sectPr w:rsidR="00FA51BE">
          <w:pgSz w:w="11900" w:h="16840"/>
          <w:pgMar w:top="1046" w:right="1148" w:bottom="1046" w:left="1004" w:header="0" w:footer="3" w:gutter="0"/>
          <w:cols w:space="720"/>
          <w:noEndnote/>
          <w:docGrid w:linePitch="360"/>
        </w:sectPr>
      </w:pPr>
    </w:p>
    <w:p w:rsidR="00FA51BE" w:rsidRDefault="00A364E0">
      <w:pPr>
        <w:pStyle w:val="10"/>
        <w:keepNext/>
        <w:keepLines/>
        <w:shd w:val="clear" w:color="auto" w:fill="auto"/>
        <w:ind w:right="20"/>
      </w:pPr>
      <w:bookmarkStart w:id="1" w:name="bookmark1"/>
      <w:r>
        <w:lastRenderedPageBreak/>
        <w:t xml:space="preserve">Расчет тарифа на питьевую воду (питьевое </w:t>
      </w:r>
      <w:r>
        <w:t>водоснабжение</w:t>
      </w:r>
      <w:proofErr w:type="gramStart"/>
      <w:r>
        <w:t>)м</w:t>
      </w:r>
      <w:proofErr w:type="gramEnd"/>
      <w:r>
        <w:t>етодом экономически обоснованным</w:t>
      </w:r>
      <w:bookmarkStart w:id="2" w:name="_GoBack"/>
      <w:bookmarkEnd w:id="2"/>
      <w:r>
        <w:br/>
        <w:t>для потребителей ООО "</w:t>
      </w:r>
      <w:proofErr w:type="spellStart"/>
      <w:r>
        <w:t>Энергосфера</w:t>
      </w:r>
      <w:proofErr w:type="spellEnd"/>
      <w:r>
        <w:t>-Иркутск", оказывающего услуги на территории</w:t>
      </w:r>
      <w:r>
        <w:br/>
      </w:r>
      <w:proofErr w:type="spellStart"/>
      <w:r>
        <w:t>Вихоревското</w:t>
      </w:r>
      <w:proofErr w:type="spellEnd"/>
      <w:r>
        <w:t xml:space="preserve"> муниципального образования Братского района</w:t>
      </w:r>
      <w:bookmarkEnd w:id="1"/>
    </w:p>
    <w:tbl>
      <w:tblPr>
        <w:tblOverlap w:val="never"/>
        <w:tblW w:w="10640" w:type="dxa"/>
        <w:jc w:val="center"/>
        <w:tblInd w:w="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75"/>
        <w:gridCol w:w="1070"/>
        <w:gridCol w:w="2468"/>
        <w:gridCol w:w="810"/>
        <w:gridCol w:w="915"/>
        <w:gridCol w:w="993"/>
      </w:tblGrid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 xml:space="preserve">№ </w:t>
            </w:r>
            <w:proofErr w:type="gramStart"/>
            <w:r>
              <w:rPr>
                <w:rStyle w:val="255pt"/>
              </w:rPr>
              <w:t>п</w:t>
            </w:r>
            <w:proofErr w:type="gramEnd"/>
            <w:r>
              <w:rPr>
                <w:rStyle w:val="255pt"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Наименование показателя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4" w:lineRule="exact"/>
              <w:ind w:right="-53"/>
              <w:jc w:val="center"/>
            </w:pPr>
            <w:r>
              <w:rPr>
                <w:rStyle w:val="255pt"/>
              </w:rPr>
              <w:t>По расчету регулирующего органа на 2017 год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4" w:lineRule="exact"/>
              <w:ind w:right="-53"/>
              <w:jc w:val="center"/>
            </w:pPr>
            <w:r>
              <w:rPr>
                <w:rStyle w:val="255pt"/>
              </w:rPr>
              <w:t>Основания, по которым произведен расчет экспертами регулирующего органа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4" w:lineRule="exact"/>
              <w:ind w:right="-53"/>
              <w:jc w:val="center"/>
            </w:pPr>
            <w:r>
              <w:rPr>
                <w:rStyle w:val="255pt"/>
              </w:rPr>
              <w:t>Рост по отношению к базовому периоду, %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8" w:lineRule="exact"/>
              <w:ind w:right="-53"/>
              <w:jc w:val="center"/>
            </w:pPr>
            <w:r>
              <w:rPr>
                <w:rStyle w:val="255pt"/>
              </w:rPr>
              <w:t>По расчету регулирующего органа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7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</w:pPr>
          </w:p>
        </w:tc>
        <w:tc>
          <w:tcPr>
            <w:tcW w:w="3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2018 год 2019 год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0"/>
              </w:rPr>
              <w:t>Баланс: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both"/>
            </w:pPr>
            <w:r>
              <w:rPr>
                <w:rStyle w:val="255pt"/>
              </w:rPr>
              <w:t>Объем поднятой воды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2 643 718,5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4" w:lineRule="exact"/>
              <w:ind w:right="-53"/>
            </w:pPr>
            <w:r>
              <w:rPr>
                <w:rStyle w:val="255pt"/>
              </w:rPr>
              <w:t>В связи с тем, что Предприятием не представлен обоснованный расчёт объёма поднятой воды, объём воды принят на уровне, учтённом в действующем тарифе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99%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2 643 718,5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2 643 718,5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both"/>
            </w:pPr>
            <w:r>
              <w:rPr>
                <w:rStyle w:val="255pt"/>
              </w:rPr>
              <w:t>Получено воды со стороны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#ДЕЛ/0!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0,0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8" w:lineRule="exact"/>
              <w:ind w:right="-53"/>
              <w:jc w:val="both"/>
            </w:pPr>
            <w:r>
              <w:rPr>
                <w:rStyle w:val="255pt"/>
              </w:rPr>
              <w:t xml:space="preserve">Объем воды, используемой на собственные </w:t>
            </w:r>
            <w:proofErr w:type="spellStart"/>
            <w:r>
              <w:rPr>
                <w:rStyle w:val="255pt"/>
              </w:rPr>
              <w:t>хозяйственно</w:t>
            </w:r>
            <w:r>
              <w:rPr>
                <w:rStyle w:val="255pt"/>
              </w:rPr>
              <w:softHyphen/>
              <w:t>бытовые</w:t>
            </w:r>
            <w:proofErr w:type="spellEnd"/>
            <w:r>
              <w:rPr>
                <w:rStyle w:val="255pt"/>
              </w:rPr>
              <w:t xml:space="preserve"> нужды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658 881,0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4" w:lineRule="exact"/>
              <w:ind w:right="-53"/>
            </w:pPr>
            <w:r>
              <w:rPr>
                <w:rStyle w:val="255pt"/>
              </w:rPr>
              <w:t>Объём водоснабжения принят на уровне, учтённом в действующем тарифе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left="160" w:right="-53"/>
            </w:pPr>
            <w:r>
              <w:rPr>
                <w:rStyle w:val="255pt"/>
              </w:rPr>
              <w:t>658 881,0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658 881,0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both"/>
            </w:pPr>
            <w:r>
              <w:rPr>
                <w:rStyle w:val="255pt"/>
              </w:rPr>
              <w:t>Объем воды, поданной в сеть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1 984 837,5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По нижеприведенным основаниям.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98%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1 984 837,5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1 984 837,5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5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both"/>
            </w:pPr>
            <w:r>
              <w:rPr>
                <w:rStyle w:val="255pt"/>
              </w:rPr>
              <w:t>Потери воды в сети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258 374,0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4" w:lineRule="exact"/>
              <w:ind w:right="-53"/>
            </w:pPr>
            <w:r>
              <w:rPr>
                <w:rStyle w:val="255pt"/>
              </w:rPr>
              <w:t>Объём водоснабжения принят на уровне, учтённом в действующем тарифе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left="160" w:right="-53"/>
            </w:pPr>
            <w:r>
              <w:rPr>
                <w:rStyle w:val="255pt"/>
              </w:rPr>
              <w:t>258 374,0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258 374,0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8" w:lineRule="exact"/>
              <w:ind w:right="-53"/>
              <w:jc w:val="both"/>
            </w:pPr>
            <w:r>
              <w:rPr>
                <w:rStyle w:val="255pt"/>
              </w:rPr>
              <w:t>Уровень потерь воды в общем объеме воды, поданной в сеть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13,0%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102%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13,0%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13,0%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8" w:lineRule="exact"/>
              <w:ind w:right="-53"/>
              <w:jc w:val="both"/>
            </w:pPr>
            <w:r>
              <w:rPr>
                <w:rStyle w:val="255pt"/>
              </w:rPr>
              <w:t>Объем полезного отпуска питьевого водоснабжения 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1 726 463,5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По нижеприведенным основаниям.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98%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1 726 463,5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1 726 463,5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0"/>
              </w:rPr>
              <w:t>Расчет необходимой валовой выручки: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Является плательщиком НДС (да/нет)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jc w:val="center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Текущие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58 361,3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По нижеприведенным основаниям.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103%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50 787,2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52 290,5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1.1.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Операционные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48 997,3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По нижеприведенным основаниям.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97%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50 787,2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52 290,5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1"/>
              </w:rPr>
              <w:t>Параметры расчета: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jc w:val="center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left="360" w:right="-53"/>
            </w:pPr>
            <w:r>
              <w:rPr>
                <w:rStyle w:val="255pt"/>
              </w:rPr>
              <w:t>индекс эффективности операционных расходов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1,0%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4" w:lineRule="exact"/>
              <w:ind w:right="-53"/>
            </w:pPr>
            <w:proofErr w:type="gramStart"/>
            <w:r>
              <w:rPr>
                <w:rStyle w:val="255pt"/>
              </w:rPr>
              <w:t>Принят</w:t>
            </w:r>
            <w:proofErr w:type="gramEnd"/>
            <w:r>
              <w:rPr>
                <w:rStyle w:val="255pt"/>
              </w:rPr>
              <w:t xml:space="preserve"> в соответствии с п. 46 Методических указаний.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jc w:val="center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1,0%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left="360" w:right="-53"/>
            </w:pPr>
            <w:r>
              <w:rPr>
                <w:rStyle w:val="255pt"/>
              </w:rPr>
              <w:t>индекс потребительских цен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104,7%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4" w:lineRule="exact"/>
              <w:ind w:right="-53"/>
            </w:pPr>
            <w:r>
              <w:rPr>
                <w:rStyle w:val="255pt"/>
              </w:rPr>
              <w:t xml:space="preserve">В соответствии </w:t>
            </w:r>
            <w:proofErr w:type="gramStart"/>
            <w:r>
              <w:rPr>
                <w:rStyle w:val="255pt"/>
              </w:rPr>
              <w:t>со</w:t>
            </w:r>
            <w:proofErr w:type="gramEnd"/>
            <w:r>
              <w:rPr>
                <w:rStyle w:val="255pt"/>
              </w:rPr>
              <w:t xml:space="preserve"> основными параметрами прогноза </w:t>
            </w:r>
            <w:proofErr w:type="spellStart"/>
            <w:r>
              <w:rPr>
                <w:rStyle w:val="255pt"/>
              </w:rPr>
              <w:t>социально</w:t>
            </w:r>
            <w:r>
              <w:rPr>
                <w:rStyle w:val="255pt"/>
              </w:rPr>
              <w:softHyphen/>
              <w:t>экономического</w:t>
            </w:r>
            <w:proofErr w:type="spellEnd"/>
            <w:r>
              <w:rPr>
                <w:rStyle w:val="255pt"/>
              </w:rPr>
              <w:t xml:space="preserve"> развития РФ Минэкономразвития РФ.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jc w:val="center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104,0%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104,0%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left="360" w:right="-53"/>
            </w:pPr>
            <w:r>
              <w:rPr>
                <w:rStyle w:val="255pt"/>
              </w:rPr>
              <w:t>индекс изменения количества активов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0,0%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jc w:val="center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0,0%</w:t>
            </w: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1.1.1.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Производственные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31 247,2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По нижеприведенным основаниям.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89%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1.1.2.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</w:pPr>
            <w:r>
              <w:rPr>
                <w:rStyle w:val="255pt"/>
              </w:rPr>
              <w:t>Ремонтные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14 908,7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125%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</w:tr>
      <w:tr w:rsidR="00924527" w:rsidTr="00924527">
        <w:tblPrEx>
          <w:tblCellMar>
            <w:top w:w="0" w:type="dxa"/>
            <w:bottom w:w="0" w:type="dxa"/>
          </w:tblCellMar>
        </w:tblPrEx>
        <w:trPr>
          <w:trHeight w:hRule="exact" w:val="51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1.1.2.1.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54" w:lineRule="exact"/>
              <w:ind w:left="200" w:right="-53"/>
            </w:pPr>
            <w:r>
              <w:rPr>
                <w:rStyle w:val="255pt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1 574,20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39" w:lineRule="exact"/>
              <w:ind w:right="-53"/>
            </w:pPr>
            <w:r>
              <w:rPr>
                <w:rStyle w:val="255pt"/>
              </w:rPr>
              <w:t xml:space="preserve">Расходы, заявленные Предприятием, не могут быть признаны экономически обоснованными по следующим </w:t>
            </w:r>
            <w:proofErr w:type="spellStart"/>
            <w:r>
              <w:rPr>
                <w:rStyle w:val="255pt"/>
              </w:rPr>
              <w:t>основаниям</w:t>
            </w:r>
            <w:proofErr w:type="gramStart"/>
            <w:r>
              <w:rPr>
                <w:rStyle w:val="255pt"/>
              </w:rPr>
              <w:t>.Д</w:t>
            </w:r>
            <w:proofErr w:type="gramEnd"/>
            <w:r>
              <w:rPr>
                <w:rStyle w:val="255pt"/>
              </w:rPr>
              <w:t>ля</w:t>
            </w:r>
            <w:proofErr w:type="spellEnd"/>
            <w:r>
              <w:rPr>
                <w:rStyle w:val="255pt"/>
              </w:rPr>
              <w:t xml:space="preserve"> проведения ремонтных работ необходимо составлять ведомости дефектов, составлять на каждый вид оборудования спецификации запасных частей и </w:t>
            </w:r>
            <w:proofErr w:type="spellStart"/>
            <w:r>
              <w:rPr>
                <w:rStyle w:val="255pt"/>
              </w:rPr>
              <w:t>материлов</w:t>
            </w:r>
            <w:proofErr w:type="spellEnd"/>
            <w:r>
              <w:rPr>
                <w:rStyle w:val="255pt"/>
              </w:rPr>
              <w:t xml:space="preserve">. На все виды оборудования необходимо составлять годовые планы ремонтов. </w:t>
            </w:r>
            <w:proofErr w:type="gramStart"/>
            <w:r>
              <w:rPr>
                <w:rStyle w:val="255pt"/>
              </w:rPr>
              <w:t xml:space="preserve">Г </w:t>
            </w:r>
            <w:proofErr w:type="spellStart"/>
            <w:r>
              <w:rPr>
                <w:rStyle w:val="255pt"/>
              </w:rPr>
              <w:t>одовые</w:t>
            </w:r>
            <w:proofErr w:type="spellEnd"/>
            <w:proofErr w:type="gramEnd"/>
            <w:r>
              <w:rPr>
                <w:rStyle w:val="255pt"/>
              </w:rPr>
              <w:t xml:space="preserve"> планы утверждаются руководителем. По итогам анализа представленных материалов установлено, что Предприятием не предоставлены акты обследования, дефектные ведомости, сметные расчеты, соответственно необходимость проведения мероприятий по текущему ремонту и техническому обслуживанию Предприятием не обоснована. Кроме того, Предприятием не представлено обоснование цен, в соответствии с п. 22 основ ценообразования. Вместе с тем, учитывая объективную необходимость проведения ремонтных работ и работ по техническому </w:t>
            </w:r>
            <w:proofErr w:type="spellStart"/>
            <w:r>
              <w:rPr>
                <w:rStyle w:val="255pt"/>
              </w:rPr>
              <w:t>обслуживаниюоборудования</w:t>
            </w:r>
            <w:proofErr w:type="spellEnd"/>
            <w:r>
              <w:rPr>
                <w:rStyle w:val="255pt"/>
              </w:rPr>
              <w:t xml:space="preserve">, в расчет приняты расходы, утвержденные в действующем </w:t>
            </w:r>
            <w:proofErr w:type="spellStart"/>
            <w:r>
              <w:rPr>
                <w:rStyle w:val="255pt"/>
              </w:rPr>
              <w:t>тарифе</w:t>
            </w:r>
            <w:proofErr w:type="gramStart"/>
            <w:r>
              <w:rPr>
                <w:rStyle w:val="255pt"/>
              </w:rPr>
              <w:t>.К</w:t>
            </w:r>
            <w:proofErr w:type="gramEnd"/>
            <w:r>
              <w:rPr>
                <w:rStyle w:val="255pt"/>
              </w:rPr>
              <w:t>роме</w:t>
            </w:r>
            <w:proofErr w:type="spellEnd"/>
            <w:r>
              <w:rPr>
                <w:rStyle w:val="255pt"/>
              </w:rPr>
              <w:t xml:space="preserve"> того, объемы работ не предусмотрены производственной программой.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527" w:rsidRDefault="00924527" w:rsidP="00924527">
            <w:pPr>
              <w:pStyle w:val="22"/>
              <w:framePr w:w="10792" w:h="13489" w:hRule="exact" w:wrap="notBeside" w:vAnchor="text" w:hAnchor="page" w:x="538" w:y="536"/>
              <w:shd w:val="clear" w:color="auto" w:fill="auto"/>
              <w:spacing w:line="110" w:lineRule="exact"/>
              <w:ind w:right="-53"/>
              <w:jc w:val="center"/>
            </w:pPr>
            <w:r>
              <w:rPr>
                <w:rStyle w:val="255pt"/>
              </w:rPr>
              <w:t>100%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27" w:rsidRDefault="00924527" w:rsidP="00924527">
            <w:pPr>
              <w:framePr w:w="10792" w:h="13489" w:hRule="exact" w:wrap="notBeside" w:vAnchor="text" w:hAnchor="page" w:x="538" w:y="536"/>
              <w:ind w:right="-53"/>
              <w:rPr>
                <w:sz w:val="10"/>
                <w:szCs w:val="10"/>
              </w:rPr>
            </w:pPr>
          </w:p>
        </w:tc>
      </w:tr>
    </w:tbl>
    <w:p w:rsidR="00924527" w:rsidRDefault="00924527" w:rsidP="00924527">
      <w:pPr>
        <w:framePr w:w="10792" w:h="13489" w:hRule="exact" w:wrap="notBeside" w:vAnchor="text" w:hAnchor="page" w:x="538" w:y="536"/>
        <w:ind w:right="-53"/>
        <w:rPr>
          <w:sz w:val="2"/>
          <w:szCs w:val="2"/>
        </w:rPr>
      </w:pPr>
    </w:p>
    <w:p w:rsidR="00FA51BE" w:rsidRDefault="00FA51BE">
      <w:pPr>
        <w:rPr>
          <w:sz w:val="2"/>
          <w:szCs w:val="2"/>
        </w:rPr>
      </w:pPr>
    </w:p>
    <w:p w:rsidR="00FA51BE" w:rsidRDefault="00FA51BE" w:rsidP="00924527">
      <w:pPr>
        <w:ind w:left="142"/>
        <w:rPr>
          <w:sz w:val="2"/>
          <w:szCs w:val="2"/>
        </w:rPr>
        <w:sectPr w:rsidR="00FA51BE" w:rsidSect="00924527">
          <w:pgSz w:w="11900" w:h="16840"/>
          <w:pgMar w:top="681" w:right="2027" w:bottom="1276" w:left="282" w:header="0" w:footer="3" w:gutter="0"/>
          <w:cols w:space="720"/>
          <w:noEndnote/>
          <w:docGrid w:linePitch="360"/>
        </w:sectPr>
      </w:pPr>
    </w:p>
    <w:p w:rsidR="00FA51BE" w:rsidRDefault="00A364E0">
      <w:pPr>
        <w:spacing w:line="360" w:lineRule="exact"/>
      </w:pPr>
      <w:r>
        <w:lastRenderedPageBreak/>
        <w:pict>
          <v:shape id="_x0000_s1028" type="#_x0000_t202" style="position:absolute;margin-left:.05pt;margin-top:-13.95pt;width:551.25pt;height:701.2pt;z-index:251657731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4"/>
                    <w:gridCol w:w="3182"/>
                    <w:gridCol w:w="1070"/>
                    <w:gridCol w:w="2208"/>
                    <w:gridCol w:w="787"/>
                    <w:gridCol w:w="792"/>
                    <w:gridCol w:w="806"/>
                  </w:tblGrid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2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Style w:val="255pt"/>
                          </w:rPr>
                          <w:t>п</w:t>
                        </w:r>
                        <w:proofErr w:type="gramEnd"/>
                        <w:r>
                          <w:rPr>
                            <w:rStyle w:val="255pt"/>
                          </w:rPr>
                          <w:t>/п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По расчету регулирующего органа на 2017 год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Основания, по которым произведен расчет экспертами регулирующего органа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Рост по отношению к базовому периоду, %</w:t>
                        </w:r>
                      </w:p>
                    </w:tc>
                    <w:tc>
                      <w:tcPr>
                        <w:tcW w:w="159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8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По расчету регулирующего органа</w:t>
                        </w: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2018 год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2019 год</w:t>
                        </w: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50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1.1.2.2.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  <w:ind w:left="200"/>
                        </w:pPr>
                        <w:r>
                          <w:rPr>
                            <w:rStyle w:val="255pt"/>
                          </w:rPr>
                          <w:t xml:space="preserve">Расходы на капитальный ремонт централизованных систем водоснабжения либо </w:t>
                        </w:r>
                        <w:r>
                          <w:rPr>
                            <w:rStyle w:val="255pt"/>
                          </w:rPr>
                          <w:t>объектов, входящих в состав таких систем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4 037,00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</w:pPr>
                        <w:proofErr w:type="gramStart"/>
                        <w:r>
                          <w:rPr>
                            <w:rStyle w:val="255pt"/>
                          </w:rPr>
                          <w:t xml:space="preserve">По итогам анализа представленных </w:t>
                        </w:r>
                        <w:proofErr w:type="spellStart"/>
                        <w:r>
                          <w:rPr>
                            <w:rStyle w:val="255pt"/>
                          </w:rPr>
                          <w:t>материаловрасходы</w:t>
                        </w:r>
                        <w:proofErr w:type="spellEnd"/>
                        <w:r>
                          <w:rPr>
                            <w:rStyle w:val="255pt"/>
                          </w:rPr>
                          <w:t xml:space="preserve"> не могут быть признаны экономически обоснованными, т.к. представленная производственная программа не отвечает требованиям, утвержденным ПП РФ от 29.07.2013</w:t>
                        </w:r>
                        <w:r>
                          <w:rPr>
                            <w:rStyle w:val="255pt"/>
                          </w:rPr>
                          <w:t>г № 641 "Об инвестиционных и производственных программах организаций, осуществляющей деятельность в сфере водоснабжения и водоотведения".</w:t>
                        </w:r>
                        <w:proofErr w:type="gramEnd"/>
                        <w:r>
                          <w:rPr>
                            <w:rStyle w:val="255pt"/>
                          </w:rPr>
                          <w:t xml:space="preserve"> Орган регулирования принимает первоочередные мероприятия по капитальному ремонту на сумму 4037 </w:t>
                        </w:r>
                        <w:proofErr w:type="spellStart"/>
                        <w:r>
                          <w:rPr>
                            <w:rStyle w:val="255pt"/>
                          </w:rPr>
                          <w:t>т.р</w:t>
                        </w:r>
                        <w:proofErr w:type="spellEnd"/>
                        <w:r>
                          <w:rPr>
                            <w:rStyle w:val="255pt"/>
                          </w:rPr>
                          <w:t xml:space="preserve">. В случае </w:t>
                        </w:r>
                        <w:proofErr w:type="spellStart"/>
                        <w:r>
                          <w:rPr>
                            <w:rStyle w:val="255pt"/>
                          </w:rPr>
                          <w:t>неподтвер</w:t>
                        </w:r>
                        <w:r>
                          <w:rPr>
                            <w:rStyle w:val="255pt"/>
                          </w:rPr>
                          <w:t>ждения</w:t>
                        </w:r>
                        <w:proofErr w:type="spellEnd"/>
                        <w:r>
                          <w:rPr>
                            <w:rStyle w:val="255pt"/>
                          </w:rPr>
                          <w:t xml:space="preserve"> заявленных затрат фактически понесенными расходами с предоставлением бухгалтерской документации, указанные расходы будут исключены в полном объеме в следующем периоде регулирования.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66%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1.1.2.3.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  <w:ind w:left="200"/>
                        </w:pPr>
                        <w:r>
                          <w:rPr>
                            <w:rStyle w:val="255pt"/>
                          </w:rPr>
                          <w:t xml:space="preserve">Расходы на оплату труда и отчисления на социальные </w:t>
                        </w:r>
                        <w:r>
                          <w:rPr>
                            <w:rStyle w:val="255pt"/>
                          </w:rPr>
                          <w:t>нужды ремонтного персонала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7 140,92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</w:pPr>
                        <w:r>
                          <w:rPr>
                            <w:rStyle w:val="255pt"/>
                          </w:rPr>
                          <w:t>Расчет произведен исходя из принятых Органом регулирования численности рабочих и среднемесячной заработной платы.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219%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23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ind w:left="360"/>
                        </w:pPr>
                        <w:r>
                          <w:rPr>
                            <w:rStyle w:val="255pt"/>
                          </w:rPr>
                          <w:t>Среднемесячная оплата труда ремонтного персонала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31 319,81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</w:pPr>
                        <w:r>
                          <w:rPr>
                            <w:rStyle w:val="255pt"/>
                          </w:rPr>
                          <w:t>Заявленная Предприятием среднемесячная</w:t>
                        </w:r>
                        <w:r>
                          <w:rPr>
                            <w:rStyle w:val="255pt"/>
                          </w:rPr>
                          <w:t xml:space="preserve"> заработная плата не может быть признана экономически обоснованной, т.к. расчет ФОТ завышен </w:t>
                        </w:r>
                        <w:proofErr w:type="spellStart"/>
                        <w:r>
                          <w:rPr>
                            <w:rStyle w:val="255pt"/>
                          </w:rPr>
                          <w:t>всвязи</w:t>
                        </w:r>
                        <w:proofErr w:type="spellEnd"/>
                        <w:r>
                          <w:rPr>
                            <w:rStyle w:val="255pt"/>
                          </w:rPr>
                          <w:t xml:space="preserve"> с применением доплат</w:t>
                        </w:r>
                        <w:proofErr w:type="gramStart"/>
                        <w:r>
                          <w:rPr>
                            <w:rStyle w:val="255pt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Style w:val="255pt"/>
                          </w:rPr>
                          <w:t xml:space="preserve"> связанных с режимом работы для персонала, не имеющего отклонений в трудовом распорядке, и выплат, связанных с необоснованным премирова</w:t>
                        </w:r>
                        <w:r>
                          <w:rPr>
                            <w:rStyle w:val="255pt"/>
                          </w:rPr>
                          <w:t>нием. В расчет принята среднемесячная з/</w:t>
                        </w:r>
                        <w:proofErr w:type="gramStart"/>
                        <w:r>
                          <w:rPr>
                            <w:rStyle w:val="255pt"/>
                          </w:rPr>
                          <w:t>п</w:t>
                        </w:r>
                        <w:proofErr w:type="gramEnd"/>
                        <w:r>
                          <w:rPr>
                            <w:rStyle w:val="255pt"/>
                          </w:rPr>
                          <w:t>, рассчитанная в соответствии представленными Предприятием приказами об утверждении ставки рабочего 1 разряда и тарифной сетки с применением тарифных разрядов согласно штатному расписанию. Для сменного персонала при</w:t>
                        </w:r>
                        <w:r>
                          <w:rPr>
                            <w:rStyle w:val="255pt"/>
                          </w:rPr>
                          <w:t>менены доплаты, связанные с особыми условиями труда. Также в расчет принят процент премирования- 40%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115%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1.1.3.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Административные расходы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2 841,4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81%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1.2.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Расходы на электрическую энергию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7 379,2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Расшифровка приведена ниже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149%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1.2.3.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  <w:ind w:left="360"/>
                        </w:pPr>
                        <w:r>
                          <w:rPr>
                            <w:rStyle w:val="255pt"/>
                          </w:rPr>
                          <w:t>Удельное потребление электрической энергии на единицу объема воды, отпускаемой в сеть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1,1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</w:pPr>
                        <w:proofErr w:type="gramStart"/>
                        <w:r>
                          <w:rPr>
                            <w:rStyle w:val="255pt"/>
                          </w:rPr>
                          <w:t>Принят</w:t>
                        </w:r>
                        <w:proofErr w:type="gramEnd"/>
                        <w:r>
                          <w:rPr>
                            <w:rStyle w:val="255pt"/>
                          </w:rPr>
                          <w:t xml:space="preserve"> исходя из объема потребления электрической энергии в расчете на единицу объема воды, поданной в водопроводную сеть.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119%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1,1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1,1</w:t>
                        </w: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1.3.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Неподконтрольные расходы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1 984,8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Расшифровка приведена ниже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125%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1.3.2.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</w:pPr>
                        <w:r>
                          <w:rPr>
                            <w:rStyle w:val="255pt"/>
                          </w:rPr>
                          <w:t>Расходы на уплату налогов, сборов и других обязательных платежей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577,8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Расшифровка приведена ниже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36%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7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1.3.3.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</w:pPr>
                        <w:r>
                          <w:rPr>
                            <w:rStyle w:val="255pt"/>
                          </w:rPr>
                          <w:t xml:space="preserve">Расходы на арендную плату, концессионную плату и лизинговые платежи в отношении </w:t>
                        </w:r>
                        <w:r>
                          <w:rPr>
                            <w:rStyle w:val="255pt"/>
                          </w:rPr>
                          <w:t>централизованных систем водоснабжения либо объектов, входящих в состав таких систем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1 407,0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</w:pPr>
                        <w:r>
                          <w:rPr>
                            <w:rStyle w:val="255pt"/>
                          </w:rPr>
                          <w:t>По итогам анализа представленных документов в расчет принята сумма амортизации по оборудованию, прямо относящемуся к процессу водоснабжения. Дополнительно представл</w:t>
                        </w:r>
                        <w:r>
                          <w:rPr>
                            <w:rStyle w:val="255pt"/>
                          </w:rPr>
                          <w:t>ены инвентарные карточки учета ОС.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#ДЕЛ/0!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Амортизация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#ДЕЛ/0!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3.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Нормативная прибыль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Расшифровка приведена ниже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#ДЕЛ/0!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0,0</w:t>
                        </w: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4.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8" w:lineRule="exact"/>
                        </w:pPr>
                        <w:r>
                          <w:rPr>
                            <w:rStyle w:val="255pt"/>
                          </w:rPr>
                          <w:t>Расчетная предпринимательская прибыль гарантирующей организации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2 889,18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8" w:lineRule="exact"/>
                        </w:pPr>
                        <w:proofErr w:type="gramStart"/>
                        <w:r>
                          <w:rPr>
                            <w:rStyle w:val="255pt"/>
                          </w:rPr>
                          <w:t>Рассчитана</w:t>
                        </w:r>
                        <w:proofErr w:type="gramEnd"/>
                        <w:r>
                          <w:rPr>
                            <w:rStyle w:val="255pt"/>
                          </w:rPr>
                          <w:t xml:space="preserve"> в соответствии с </w:t>
                        </w:r>
                        <w:r>
                          <w:rPr>
                            <w:rStyle w:val="255pt"/>
                          </w:rPr>
                          <w:t>п.47(1) Основ ценообразования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103%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5.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Необходимая валовая выручка (НДС не облагается)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61 250,5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По вышеприведенным основаниям.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103%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50 787,2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52 290,5</w:t>
                        </w: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6.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0"/>
                          </w:rPr>
                          <w:t>Тариф (НДС не облагается)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0"/>
                          </w:rPr>
                          <w:t>35,48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54" w:lineRule="exact"/>
                        </w:pPr>
                        <w:proofErr w:type="gramStart"/>
                        <w:r>
                          <w:rPr>
                            <w:rStyle w:val="255pt"/>
                          </w:rPr>
                          <w:t>Определен</w:t>
                        </w:r>
                        <w:proofErr w:type="gramEnd"/>
                        <w:r>
                          <w:rPr>
                            <w:rStyle w:val="255pt"/>
                          </w:rPr>
                          <w:t xml:space="preserve"> исходя из принятой необходимой валовой выручки и объема </w:t>
                        </w:r>
                        <w:r>
                          <w:rPr>
                            <w:rStyle w:val="255pt"/>
                          </w:rPr>
                          <w:t>полезного отпуска услуг.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0"/>
                          </w:rPr>
                          <w:t>29,42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0"/>
                          </w:rPr>
                          <w:t>30,29</w:t>
                        </w:r>
                      </w:p>
                    </w:tc>
                  </w:tr>
                  <w:tr w:rsidR="00FA5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7.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Темп роста тарифа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104,6%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51BE" w:rsidRDefault="00FA51B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82,9%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51BE" w:rsidRDefault="00A364E0">
                        <w:pPr>
                          <w:pStyle w:val="22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103,0%</w:t>
                        </w:r>
                      </w:p>
                    </w:tc>
                  </w:tr>
                </w:tbl>
                <w:p w:rsidR="00FA51BE" w:rsidRDefault="00FA51B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7pt;margin-top:693.4pt;width:185.3pt;height:10.55pt;z-index:251657732;mso-wrap-distance-left:5pt;mso-wrap-distance-right:5pt;mso-position-horizontal-relative:margin" filled="f" stroked="f">
            <v:textbox style="mso-fit-shape-to-text:t" inset="0,0,0,0">
              <w:txbxContent>
                <w:p w:rsidR="00FA51BE" w:rsidRDefault="00A364E0">
                  <w:pPr>
                    <w:pStyle w:val="22"/>
                    <w:shd w:val="clear" w:color="auto" w:fill="auto"/>
                    <w:spacing w:line="150" w:lineRule="exact"/>
                  </w:pPr>
                  <w:proofErr w:type="gramStart"/>
                  <w:r>
                    <w:rPr>
                      <w:rStyle w:val="2Exact"/>
                    </w:rPr>
                    <w:t>Ответственные за подготовку экспертного заключения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310.55pt;margin-top:693.4pt;width:49.9pt;height:20.45pt;z-index:251657733;mso-wrap-distance-left:5pt;mso-wrap-distance-right:5pt;mso-position-horizontal-relative:margin" filled="f" stroked="f">
            <v:textbox style="mso-fit-shape-to-text:t" inset="0,0,0,0">
              <w:txbxContent>
                <w:p w:rsidR="00FA51BE" w:rsidRDefault="00A364E0">
                  <w:pPr>
                    <w:pStyle w:val="22"/>
                    <w:shd w:val="clear" w:color="auto" w:fill="auto"/>
                    <w:spacing w:after="16" w:line="150" w:lineRule="exact"/>
                  </w:pPr>
                  <w:proofErr w:type="spellStart"/>
                  <w:r>
                    <w:rPr>
                      <w:rStyle w:val="2Exact"/>
                    </w:rPr>
                    <w:t>А.Е.Золотуева</w:t>
                  </w:r>
                  <w:proofErr w:type="spellEnd"/>
                </w:p>
                <w:p w:rsidR="00FA51BE" w:rsidRDefault="00A364E0">
                  <w:pPr>
                    <w:pStyle w:val="22"/>
                    <w:shd w:val="clear" w:color="auto" w:fill="auto"/>
                    <w:spacing w:line="150" w:lineRule="exact"/>
                    <w:ind w:left="160"/>
                  </w:pPr>
                  <w:proofErr w:type="spellStart"/>
                  <w:r>
                    <w:rPr>
                      <w:rStyle w:val="2Exact"/>
                    </w:rPr>
                    <w:t>Т.Л.Шалина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360" w:lineRule="exact"/>
      </w:pPr>
    </w:p>
    <w:p w:rsidR="00FA51BE" w:rsidRDefault="00FA51BE">
      <w:pPr>
        <w:spacing w:line="558" w:lineRule="exact"/>
      </w:pPr>
    </w:p>
    <w:p w:rsidR="00FA51BE" w:rsidRDefault="00FA51BE">
      <w:pPr>
        <w:rPr>
          <w:sz w:val="2"/>
          <w:szCs w:val="2"/>
        </w:rPr>
      </w:pPr>
    </w:p>
    <w:sectPr w:rsidR="00FA51BE">
      <w:pgSz w:w="11900" w:h="16840"/>
      <w:pgMar w:top="1098" w:right="2027" w:bottom="1098" w:left="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E0" w:rsidRDefault="00A364E0">
      <w:r>
        <w:separator/>
      </w:r>
    </w:p>
  </w:endnote>
  <w:endnote w:type="continuationSeparator" w:id="0">
    <w:p w:rsidR="00A364E0" w:rsidRDefault="00A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E0" w:rsidRDefault="00A364E0"/>
  </w:footnote>
  <w:footnote w:type="continuationSeparator" w:id="0">
    <w:p w:rsidR="00A364E0" w:rsidRDefault="00A364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BE" w:rsidRDefault="00A364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5.4pt;margin-top:21.5pt;width:2.95pt;height:14.2pt;z-index:-188744064;mso-wrap-style:none;mso-wrap-distance-left:5pt;mso-wrap-distance-right:5pt;mso-position-horizontal-relative:page;mso-position-vertical-relative:page" wrapcoords="0 0" filled="f" stroked="f">
          <v:textbox style="mso-next-textbox:#_x0000_s2050" inset="0,0,0,0">
            <w:txbxContent>
              <w:p w:rsidR="00FA51BE" w:rsidRDefault="00FA51BE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BE" w:rsidRDefault="00A364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8.95pt;margin-top:26.8pt;width:125.65pt;height:34.6pt;z-index:-188744063;mso-wrap-distance-left:5pt;mso-wrap-distance-right:5pt;mso-position-horizontal-relative:page;mso-position-vertical-relative:page" wrapcoords="0 0" filled="f" stroked="f">
          <v:textbox style="mso-next-textbox:#_x0000_s2051" inset="0,0,0,0">
            <w:txbxContent>
              <w:p w:rsidR="00FA51BE" w:rsidRDefault="00A364E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5pt"/>
                  </w:rPr>
                  <w:t>Приложение №1 к Протоколу</w:t>
                </w:r>
              </w:p>
              <w:p w:rsidR="00FA51BE" w:rsidRDefault="00A364E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5pt"/>
                  </w:rPr>
                  <w:t>от 03.11.2017г. № 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51BE"/>
    <w:rsid w:val="00924527"/>
    <w:rsid w:val="00A364E0"/>
    <w:rsid w:val="00F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5pt">
    <w:name w:val="Колонтитул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5pt1">
    <w:name w:val="Основной текст (2) + 5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9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9245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4527"/>
    <w:rPr>
      <w:color w:val="000000"/>
    </w:rPr>
  </w:style>
  <w:style w:type="paragraph" w:styleId="a9">
    <w:name w:val="footer"/>
    <w:basedOn w:val="a"/>
    <w:link w:val="aa"/>
    <w:uiPriority w:val="99"/>
    <w:unhideWhenUsed/>
    <w:rsid w:val="009245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45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АННА</cp:lastModifiedBy>
  <cp:revision>2</cp:revision>
  <dcterms:created xsi:type="dcterms:W3CDTF">2018-07-05T07:08:00Z</dcterms:created>
  <dcterms:modified xsi:type="dcterms:W3CDTF">2018-07-05T07:17:00Z</dcterms:modified>
</cp:coreProperties>
</file>