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96" w:rsidRDefault="003B1994" w:rsidP="003B1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994">
        <w:rPr>
          <w:rFonts w:ascii="Times New Roman" w:hAnsi="Times New Roman" w:cs="Times New Roman"/>
          <w:sz w:val="24"/>
          <w:szCs w:val="24"/>
        </w:rPr>
        <w:t>АДМИНИСТРАЦИЯ ВИХОРЕВСКОГО ГОРОДСКОГО ПОСЕЛЕНИЯ</w:t>
      </w:r>
    </w:p>
    <w:p w:rsidR="003B1994" w:rsidRDefault="003B1994" w:rsidP="003B19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p w:rsidR="003B1994" w:rsidRDefault="003B1994" w:rsidP="003B1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установлению  тарифов  на услуги  организаций коммунального комплекса</w:t>
      </w:r>
    </w:p>
    <w:p w:rsidR="003B1994" w:rsidRPr="00C33604" w:rsidRDefault="00C35281" w:rsidP="003B199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011D5C">
        <w:rPr>
          <w:rFonts w:ascii="Times New Roman" w:hAnsi="Times New Roman" w:cs="Times New Roman"/>
          <w:sz w:val="24"/>
          <w:szCs w:val="24"/>
          <w:u w:val="single"/>
        </w:rPr>
        <w:t>0.2023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3B199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14106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B199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D0195" w:rsidRPr="00F220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1994">
        <w:rPr>
          <w:rFonts w:ascii="Times New Roman" w:hAnsi="Times New Roman" w:cs="Times New Roman"/>
          <w:sz w:val="24"/>
          <w:szCs w:val="24"/>
        </w:rPr>
        <w:t xml:space="preserve"> 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>г. Вихоревка</w:t>
      </w:r>
    </w:p>
    <w:p w:rsidR="003B1994" w:rsidRDefault="003B1994" w:rsidP="003B1994">
      <w:pPr>
        <w:rPr>
          <w:rFonts w:ascii="Times New Roman" w:hAnsi="Times New Roman" w:cs="Times New Roman"/>
          <w:sz w:val="24"/>
          <w:szCs w:val="24"/>
        </w:rPr>
      </w:pPr>
    </w:p>
    <w:p w:rsidR="000F6386" w:rsidRDefault="003B1994" w:rsidP="00DD7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Повестка дня: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386">
        <w:rPr>
          <w:rFonts w:ascii="Times New Roman" w:hAnsi="Times New Roman" w:cs="Times New Roman"/>
          <w:sz w:val="24"/>
          <w:szCs w:val="24"/>
        </w:rPr>
        <w:t xml:space="preserve">   </w:t>
      </w:r>
      <w:r w:rsidR="00DD732D">
        <w:rPr>
          <w:rFonts w:ascii="Times New Roman" w:hAnsi="Times New Roman" w:cs="Times New Roman"/>
          <w:sz w:val="24"/>
          <w:szCs w:val="24"/>
        </w:rPr>
        <w:t xml:space="preserve">корректировка долгосрочных </w:t>
      </w:r>
      <w:r>
        <w:rPr>
          <w:rFonts w:ascii="Times New Roman" w:hAnsi="Times New Roman" w:cs="Times New Roman"/>
          <w:sz w:val="24"/>
          <w:szCs w:val="24"/>
        </w:rPr>
        <w:t>тариф</w:t>
      </w:r>
      <w:r w:rsidR="00FB4F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D65451">
        <w:rPr>
          <w:rFonts w:ascii="Times New Roman" w:hAnsi="Times New Roman" w:cs="Times New Roman"/>
          <w:sz w:val="24"/>
          <w:szCs w:val="24"/>
        </w:rPr>
        <w:t>захоронение  твёрд</w:t>
      </w:r>
      <w:r w:rsidR="00FB4FF3">
        <w:rPr>
          <w:rFonts w:ascii="Times New Roman" w:hAnsi="Times New Roman" w:cs="Times New Roman"/>
          <w:sz w:val="24"/>
          <w:szCs w:val="24"/>
        </w:rPr>
        <w:t>ых коммунальных отходов</w:t>
      </w:r>
      <w:r>
        <w:rPr>
          <w:rFonts w:ascii="Times New Roman" w:hAnsi="Times New Roman" w:cs="Times New Roman"/>
          <w:sz w:val="24"/>
          <w:szCs w:val="24"/>
        </w:rPr>
        <w:t xml:space="preserve">  для потребителей ООО «</w:t>
      </w:r>
      <w:r w:rsidR="00FB4FF3">
        <w:rPr>
          <w:rFonts w:ascii="Times New Roman" w:hAnsi="Times New Roman" w:cs="Times New Roman"/>
          <w:sz w:val="24"/>
          <w:szCs w:val="24"/>
        </w:rPr>
        <w:t>НАШ ГОРОД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3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F6386">
        <w:rPr>
          <w:rFonts w:ascii="Times New Roman" w:hAnsi="Times New Roman" w:cs="Times New Roman"/>
          <w:sz w:val="24"/>
          <w:szCs w:val="24"/>
        </w:rPr>
        <w:t xml:space="preserve"> находящихся на территории Вихоревского городского  поселения</w:t>
      </w:r>
      <w:r w:rsidR="00DD732D">
        <w:rPr>
          <w:rFonts w:ascii="Times New Roman" w:hAnsi="Times New Roman" w:cs="Times New Roman"/>
          <w:sz w:val="24"/>
          <w:szCs w:val="24"/>
        </w:rPr>
        <w:t xml:space="preserve"> на 2024 год</w:t>
      </w:r>
      <w:r w:rsidR="000F6386">
        <w:rPr>
          <w:rFonts w:ascii="Times New Roman" w:hAnsi="Times New Roman" w:cs="Times New Roman"/>
          <w:sz w:val="24"/>
          <w:szCs w:val="24"/>
        </w:rPr>
        <w:t>.</w:t>
      </w:r>
    </w:p>
    <w:p w:rsidR="000F6386" w:rsidRDefault="000F6386" w:rsidP="00DD7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  <w:r w:rsidR="0093549D">
        <w:rPr>
          <w:rFonts w:ascii="Times New Roman" w:hAnsi="Times New Roman" w:cs="Times New Roman"/>
          <w:sz w:val="24"/>
          <w:szCs w:val="24"/>
        </w:rPr>
        <w:t xml:space="preserve">    Из шести</w:t>
      </w:r>
      <w:r w:rsidR="0039441F">
        <w:rPr>
          <w:rFonts w:ascii="Times New Roman" w:hAnsi="Times New Roman" w:cs="Times New Roman"/>
          <w:sz w:val="24"/>
          <w:szCs w:val="24"/>
        </w:rPr>
        <w:t xml:space="preserve"> членов комиссии присутствуют: 5</w:t>
      </w:r>
    </w:p>
    <w:p w:rsidR="00AE0D4E" w:rsidRDefault="00AE0D4E" w:rsidP="00DD732D">
      <w:pPr>
        <w:jc w:val="both"/>
        <w:rPr>
          <w:rFonts w:ascii="Times New Roman" w:hAnsi="Times New Roman" w:cs="Times New Roman"/>
          <w:sz w:val="24"/>
          <w:szCs w:val="24"/>
        </w:rPr>
      </w:pPr>
      <w:r w:rsidRPr="003D0195">
        <w:rPr>
          <w:rFonts w:ascii="Times New Roman" w:hAnsi="Times New Roman" w:cs="Times New Roman"/>
          <w:sz w:val="24"/>
          <w:szCs w:val="24"/>
        </w:rPr>
        <w:t>Юрочкин А.А</w:t>
      </w:r>
      <w:r>
        <w:rPr>
          <w:rFonts w:ascii="Times New Roman" w:hAnsi="Times New Roman" w:cs="Times New Roman"/>
          <w:sz w:val="24"/>
          <w:szCs w:val="24"/>
        </w:rPr>
        <w:t xml:space="preserve">. – председатель </w:t>
      </w:r>
      <w:r w:rsidRPr="003D0195">
        <w:rPr>
          <w:rFonts w:ascii="Times New Roman" w:hAnsi="Times New Roman" w:cs="Times New Roman"/>
          <w:sz w:val="24"/>
          <w:szCs w:val="24"/>
        </w:rPr>
        <w:t>комиссии;</w:t>
      </w:r>
    </w:p>
    <w:p w:rsidR="000F6386" w:rsidRDefault="000F6386" w:rsidP="00DD73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Золотуева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  <w:r w:rsidR="00EF2EFB">
        <w:rPr>
          <w:rFonts w:ascii="Times New Roman" w:hAnsi="Times New Roman" w:cs="Times New Roman"/>
          <w:sz w:val="24"/>
          <w:szCs w:val="24"/>
        </w:rPr>
        <w:t xml:space="preserve"> </w:t>
      </w:r>
      <w:r w:rsidR="00631B43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631B4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631B4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31B43">
        <w:rPr>
          <w:rFonts w:ascii="Times New Roman" w:hAnsi="Times New Roman" w:cs="Times New Roman"/>
          <w:sz w:val="24"/>
          <w:szCs w:val="24"/>
        </w:rPr>
        <w:t>редседателя</w:t>
      </w:r>
      <w:proofErr w:type="spellEnd"/>
      <w:r w:rsidR="00631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комиссии;</w:t>
      </w:r>
    </w:p>
    <w:p w:rsidR="000F6386" w:rsidRDefault="0093549D" w:rsidP="00DD7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Мусина О.Н.–  секретарь</w:t>
      </w:r>
      <w:r w:rsidR="000F6386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631B43" w:rsidRDefault="0093549D" w:rsidP="00DD7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А.В. – член</w:t>
      </w:r>
      <w:r w:rsidR="00631B43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93549D" w:rsidRDefault="0093549D" w:rsidP="00DD7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Т.Н. – член комиссии</w:t>
      </w:r>
    </w:p>
    <w:p w:rsidR="00576E62" w:rsidRDefault="000F6386" w:rsidP="00DD73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рассмотрении дел и принятию решений  по  </w:t>
      </w:r>
      <w:r w:rsidR="00DD732D">
        <w:rPr>
          <w:rFonts w:ascii="Times New Roman" w:hAnsi="Times New Roman" w:cs="Times New Roman"/>
          <w:sz w:val="24"/>
          <w:szCs w:val="24"/>
        </w:rPr>
        <w:t>корректировке</w:t>
      </w:r>
      <w:r>
        <w:rPr>
          <w:rFonts w:ascii="Times New Roman" w:hAnsi="Times New Roman" w:cs="Times New Roman"/>
          <w:sz w:val="24"/>
          <w:szCs w:val="24"/>
        </w:rPr>
        <w:t xml:space="preserve">     тариф</w:t>
      </w:r>
      <w:r w:rsidR="00FB4F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FF3">
        <w:rPr>
          <w:rFonts w:ascii="Times New Roman" w:hAnsi="Times New Roman" w:cs="Times New Roman"/>
          <w:sz w:val="24"/>
          <w:szCs w:val="24"/>
        </w:rPr>
        <w:t xml:space="preserve">на захоронение  твёрдых коммунальных отходов  </w:t>
      </w:r>
      <w:r w:rsidR="00576E62" w:rsidRPr="00576E62">
        <w:rPr>
          <w:rFonts w:ascii="Times New Roman" w:hAnsi="Times New Roman" w:cs="Times New Roman"/>
          <w:sz w:val="24"/>
          <w:szCs w:val="24"/>
        </w:rPr>
        <w:t>присутствуют:</w:t>
      </w:r>
      <w:r w:rsidR="00576E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A16AF1" w:rsidRDefault="00A16AF1" w:rsidP="00DD732D">
      <w:pPr>
        <w:jc w:val="both"/>
        <w:rPr>
          <w:rFonts w:ascii="Times New Roman" w:hAnsi="Times New Roman" w:cs="Times New Roman"/>
          <w:sz w:val="24"/>
          <w:szCs w:val="24"/>
        </w:rPr>
      </w:pPr>
      <w:r w:rsidRPr="00A16AF1">
        <w:rPr>
          <w:rFonts w:ascii="Times New Roman" w:hAnsi="Times New Roman" w:cs="Times New Roman"/>
          <w:sz w:val="24"/>
          <w:szCs w:val="24"/>
        </w:rPr>
        <w:t>Дружинин Н.Ю. - глава админ</w:t>
      </w:r>
      <w:r>
        <w:rPr>
          <w:rFonts w:ascii="Times New Roman" w:hAnsi="Times New Roman" w:cs="Times New Roman"/>
          <w:sz w:val="24"/>
          <w:szCs w:val="24"/>
        </w:rPr>
        <w:t>истрации Вихоревского городского  поселения</w:t>
      </w:r>
      <w:proofErr w:type="gramStart"/>
      <w:r w:rsidRPr="00576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B4FF3" w:rsidRDefault="00FB4FF3" w:rsidP="00DD7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Игнатенко М.А.</w:t>
      </w:r>
      <w:r w:rsidR="00576E62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E0712D">
        <w:rPr>
          <w:rFonts w:ascii="Times New Roman" w:hAnsi="Times New Roman" w:cs="Times New Roman"/>
          <w:sz w:val="24"/>
          <w:szCs w:val="24"/>
        </w:rPr>
        <w:t xml:space="preserve"> </w:t>
      </w:r>
      <w:r w:rsidR="00710F86">
        <w:rPr>
          <w:rFonts w:ascii="Times New Roman" w:hAnsi="Times New Roman" w:cs="Times New Roman"/>
          <w:sz w:val="24"/>
          <w:szCs w:val="24"/>
        </w:rPr>
        <w:t xml:space="preserve">ООО «НАШ ГОРОД» </w:t>
      </w:r>
      <w:r w:rsidR="00710F86" w:rsidRPr="005555D1">
        <w:rPr>
          <w:rFonts w:ascii="Times New Roman" w:hAnsi="Times New Roman" w:cs="Times New Roman"/>
          <w:sz w:val="24"/>
          <w:szCs w:val="24"/>
        </w:rPr>
        <w:t>по доверенности.</w:t>
      </w:r>
      <w:r w:rsidR="00710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E62" w:rsidRDefault="00576E62" w:rsidP="00DD7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Открывая  заседание, </w:t>
      </w:r>
      <w:proofErr w:type="spellStart"/>
      <w:r w:rsidR="0093549D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93549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3549D">
        <w:rPr>
          <w:rFonts w:ascii="Times New Roman" w:hAnsi="Times New Roman" w:cs="Times New Roman"/>
          <w:sz w:val="24"/>
          <w:szCs w:val="24"/>
        </w:rPr>
        <w:t>редседателя</w:t>
      </w:r>
      <w:proofErr w:type="spellEnd"/>
      <w:r w:rsidR="0093549D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 известил</w:t>
      </w:r>
      <w:r w:rsidR="0093549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присутствующих  о правомочности  заседания  </w:t>
      </w:r>
      <w:r w:rsidR="003B1994" w:rsidRPr="00576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по установлению  тарифов  на услуги  организаций коммунального комплекса,  огласил повестку дня и экспертное зак</w:t>
      </w:r>
      <w:r w:rsidR="003410A6">
        <w:rPr>
          <w:rFonts w:ascii="Times New Roman" w:hAnsi="Times New Roman" w:cs="Times New Roman"/>
          <w:sz w:val="24"/>
          <w:szCs w:val="24"/>
        </w:rPr>
        <w:t>лючение  комиссии по данно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410A6">
        <w:rPr>
          <w:rFonts w:ascii="Times New Roman" w:hAnsi="Times New Roman" w:cs="Times New Roman"/>
          <w:sz w:val="24"/>
          <w:szCs w:val="24"/>
        </w:rPr>
        <w:t>у делу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E62" w:rsidRDefault="00576E62" w:rsidP="00DD7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Открыто обсуждение материалов, начаты выступления.</w:t>
      </w:r>
    </w:p>
    <w:p w:rsidR="00EA6A48" w:rsidRDefault="00576E62" w:rsidP="00DD7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Председательствующий </w:t>
      </w:r>
      <w:r w:rsidR="003410A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410A6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3410A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410A6">
        <w:rPr>
          <w:rFonts w:ascii="Times New Roman" w:hAnsi="Times New Roman" w:cs="Times New Roman"/>
          <w:sz w:val="24"/>
          <w:szCs w:val="24"/>
        </w:rPr>
        <w:t>редседателя</w:t>
      </w:r>
      <w:proofErr w:type="spellEnd"/>
      <w:r w:rsidR="003410A6">
        <w:rPr>
          <w:rFonts w:ascii="Times New Roman" w:hAnsi="Times New Roman" w:cs="Times New Roman"/>
          <w:sz w:val="24"/>
          <w:szCs w:val="24"/>
        </w:rPr>
        <w:t xml:space="preserve"> комиссии)</w:t>
      </w:r>
      <w:r>
        <w:rPr>
          <w:rFonts w:ascii="Times New Roman" w:hAnsi="Times New Roman" w:cs="Times New Roman"/>
          <w:sz w:val="24"/>
          <w:szCs w:val="24"/>
        </w:rPr>
        <w:t xml:space="preserve"> огласил</w:t>
      </w:r>
      <w:r w:rsidR="003410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проект  </w:t>
      </w:r>
      <w:r w:rsidR="00EA6A4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остановления</w:t>
      </w:r>
      <w:r w:rsidR="00EA6A48">
        <w:rPr>
          <w:rFonts w:ascii="Times New Roman" w:hAnsi="Times New Roman" w:cs="Times New Roman"/>
          <w:sz w:val="24"/>
          <w:szCs w:val="24"/>
        </w:rPr>
        <w:t xml:space="preserve">  администрации ВГП </w:t>
      </w:r>
      <w:r w:rsidR="00AE0D4E">
        <w:rPr>
          <w:rFonts w:ascii="Times New Roman" w:hAnsi="Times New Roman" w:cs="Times New Roman"/>
          <w:sz w:val="24"/>
          <w:szCs w:val="24"/>
        </w:rPr>
        <w:t xml:space="preserve">«О корректировке </w:t>
      </w:r>
      <w:r w:rsidR="00D51B6C" w:rsidRPr="003D0195">
        <w:rPr>
          <w:rFonts w:ascii="Times New Roman" w:hAnsi="Times New Roman" w:cs="Times New Roman"/>
          <w:sz w:val="24"/>
          <w:szCs w:val="24"/>
        </w:rPr>
        <w:t xml:space="preserve"> долгосрочных предельных </w:t>
      </w:r>
      <w:r w:rsidR="00EA6A48" w:rsidRPr="003D0195">
        <w:rPr>
          <w:rFonts w:ascii="Times New Roman" w:hAnsi="Times New Roman" w:cs="Times New Roman"/>
          <w:sz w:val="24"/>
          <w:szCs w:val="24"/>
        </w:rPr>
        <w:t xml:space="preserve"> тарифов  на </w:t>
      </w:r>
      <w:r w:rsidR="00D51B6C" w:rsidRPr="003D0195">
        <w:rPr>
          <w:rFonts w:ascii="Times New Roman" w:hAnsi="Times New Roman" w:cs="Times New Roman"/>
          <w:sz w:val="24"/>
          <w:szCs w:val="24"/>
        </w:rPr>
        <w:t xml:space="preserve">захоронение твёрдых коммунальных  отходов </w:t>
      </w:r>
      <w:r w:rsidR="00EA6A48" w:rsidRPr="003D0195">
        <w:rPr>
          <w:rFonts w:ascii="Times New Roman" w:hAnsi="Times New Roman" w:cs="Times New Roman"/>
          <w:sz w:val="24"/>
          <w:szCs w:val="24"/>
        </w:rPr>
        <w:t xml:space="preserve">  для </w:t>
      </w:r>
      <w:r w:rsidR="002C492A" w:rsidRPr="003D0195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="00F220DC">
        <w:rPr>
          <w:rFonts w:ascii="Times New Roman" w:hAnsi="Times New Roman" w:cs="Times New Roman"/>
          <w:sz w:val="24"/>
          <w:szCs w:val="24"/>
        </w:rPr>
        <w:t>ООО</w:t>
      </w:r>
      <w:r w:rsidR="00AE0D4E">
        <w:rPr>
          <w:rFonts w:ascii="Times New Roman" w:hAnsi="Times New Roman" w:cs="Times New Roman"/>
          <w:sz w:val="24"/>
          <w:szCs w:val="24"/>
        </w:rPr>
        <w:t xml:space="preserve"> «НАШ ГОРОД» на 2024 год</w:t>
      </w:r>
      <w:r w:rsidR="00EA6A48" w:rsidRPr="003D0195">
        <w:rPr>
          <w:rFonts w:ascii="Times New Roman" w:hAnsi="Times New Roman" w:cs="Times New Roman"/>
          <w:sz w:val="24"/>
          <w:szCs w:val="24"/>
        </w:rPr>
        <w:t>,</w:t>
      </w:r>
      <w:r w:rsidR="00EA6A48">
        <w:rPr>
          <w:rFonts w:ascii="Times New Roman" w:hAnsi="Times New Roman" w:cs="Times New Roman"/>
          <w:sz w:val="24"/>
          <w:szCs w:val="24"/>
        </w:rPr>
        <w:t xml:space="preserve"> находящихся на территории Вихоревского городского  поселения</w:t>
      </w:r>
      <w:r w:rsidR="00DD732D">
        <w:rPr>
          <w:rFonts w:ascii="Times New Roman" w:hAnsi="Times New Roman" w:cs="Times New Roman"/>
          <w:sz w:val="24"/>
          <w:szCs w:val="24"/>
        </w:rPr>
        <w:t>»</w:t>
      </w:r>
      <w:r w:rsidR="00EA6A48">
        <w:rPr>
          <w:rFonts w:ascii="Times New Roman" w:hAnsi="Times New Roman" w:cs="Times New Roman"/>
          <w:sz w:val="24"/>
          <w:szCs w:val="24"/>
        </w:rPr>
        <w:t>.</w:t>
      </w:r>
    </w:p>
    <w:p w:rsidR="00EA6A48" w:rsidRDefault="00EA6A48" w:rsidP="00DD7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Рассмотрев представленные </w:t>
      </w:r>
      <w:r w:rsidR="00D51B6C">
        <w:rPr>
          <w:rFonts w:ascii="Times New Roman" w:hAnsi="Times New Roman" w:cs="Times New Roman"/>
          <w:sz w:val="24"/>
          <w:szCs w:val="24"/>
        </w:rPr>
        <w:t xml:space="preserve">ООО «НАШ ГОРОД»  </w:t>
      </w:r>
      <w:r>
        <w:rPr>
          <w:rFonts w:ascii="Times New Roman" w:hAnsi="Times New Roman" w:cs="Times New Roman"/>
          <w:sz w:val="24"/>
          <w:szCs w:val="24"/>
        </w:rPr>
        <w:t>обосновывающие  материалы дел</w:t>
      </w:r>
      <w:r w:rsidR="00F220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а также  экспертное заключение комиссии</w:t>
      </w:r>
      <w:r w:rsidR="00F656D5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>
        <w:rPr>
          <w:rFonts w:ascii="Times New Roman" w:hAnsi="Times New Roman" w:cs="Times New Roman"/>
          <w:sz w:val="24"/>
          <w:szCs w:val="24"/>
        </w:rPr>
        <w:t>,  руководствуясь:</w:t>
      </w:r>
    </w:p>
    <w:p w:rsidR="00EA6A48" w:rsidRDefault="00EA6A48" w:rsidP="00DD7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федеральным законом от </w:t>
      </w:r>
      <w:r w:rsidR="00D51B6C">
        <w:rPr>
          <w:rFonts w:ascii="Times New Roman" w:hAnsi="Times New Roman" w:cs="Times New Roman"/>
          <w:sz w:val="24"/>
          <w:szCs w:val="24"/>
        </w:rPr>
        <w:t>24.06.1998</w:t>
      </w:r>
      <w:r>
        <w:rPr>
          <w:rFonts w:ascii="Times New Roman" w:hAnsi="Times New Roman" w:cs="Times New Roman"/>
          <w:sz w:val="24"/>
          <w:szCs w:val="24"/>
        </w:rPr>
        <w:t xml:space="preserve"> г.  № </w:t>
      </w:r>
      <w:r w:rsidR="00D51B6C">
        <w:rPr>
          <w:rFonts w:ascii="Times New Roman" w:hAnsi="Times New Roman" w:cs="Times New Roman"/>
          <w:sz w:val="24"/>
          <w:szCs w:val="24"/>
        </w:rPr>
        <w:t>89-ФЗ « Об отходах производства и потребления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A6A48" w:rsidRDefault="00EA6A48" w:rsidP="00DD7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постан</w:t>
      </w:r>
      <w:r w:rsidR="00AF724E">
        <w:rPr>
          <w:rFonts w:ascii="Times New Roman" w:hAnsi="Times New Roman" w:cs="Times New Roman"/>
          <w:sz w:val="24"/>
          <w:szCs w:val="24"/>
        </w:rPr>
        <w:t xml:space="preserve">овлением  Правительства  РФ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F724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.05.201</w:t>
      </w:r>
      <w:r w:rsidR="00AF72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№ 4</w:t>
      </w:r>
      <w:r w:rsidR="00AF724E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AF724E">
        <w:rPr>
          <w:rFonts w:ascii="Times New Roman" w:hAnsi="Times New Roman" w:cs="Times New Roman"/>
          <w:sz w:val="24"/>
          <w:szCs w:val="24"/>
        </w:rPr>
        <w:t>ценообразовании в области обращения с твёрдыми  коммунальными отходами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1525D" w:rsidRDefault="00EA6A48" w:rsidP="00DD7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положением о комиссии по </w:t>
      </w:r>
      <w:r w:rsidR="0071525D">
        <w:rPr>
          <w:rFonts w:ascii="Times New Roman" w:hAnsi="Times New Roman" w:cs="Times New Roman"/>
          <w:sz w:val="24"/>
          <w:szCs w:val="24"/>
        </w:rPr>
        <w:t xml:space="preserve">установлению  </w:t>
      </w:r>
      <w:r w:rsidR="00AE0D4E">
        <w:rPr>
          <w:rFonts w:ascii="Times New Roman" w:hAnsi="Times New Roman" w:cs="Times New Roman"/>
          <w:sz w:val="24"/>
          <w:szCs w:val="24"/>
        </w:rPr>
        <w:t xml:space="preserve">и корректировке </w:t>
      </w:r>
      <w:r w:rsidR="0071525D">
        <w:rPr>
          <w:rFonts w:ascii="Times New Roman" w:hAnsi="Times New Roman" w:cs="Times New Roman"/>
          <w:sz w:val="24"/>
          <w:szCs w:val="24"/>
        </w:rPr>
        <w:t xml:space="preserve">тарифов  на услуги  организаций коммунального комплекса,  утверждённым  Постановлением администрации Вихоревского  городского поселения  от </w:t>
      </w:r>
      <w:r w:rsidR="003410A6" w:rsidRPr="00DD732D">
        <w:rPr>
          <w:rFonts w:ascii="Times New Roman" w:hAnsi="Times New Roman" w:cs="Times New Roman"/>
          <w:sz w:val="24"/>
          <w:szCs w:val="24"/>
        </w:rPr>
        <w:t>2</w:t>
      </w:r>
      <w:r w:rsidR="00DD732D" w:rsidRPr="00DD732D">
        <w:rPr>
          <w:rFonts w:ascii="Times New Roman" w:hAnsi="Times New Roman" w:cs="Times New Roman"/>
          <w:sz w:val="24"/>
          <w:szCs w:val="24"/>
        </w:rPr>
        <w:t>0</w:t>
      </w:r>
      <w:r w:rsidR="003410A6" w:rsidRPr="00DD732D">
        <w:rPr>
          <w:rFonts w:ascii="Times New Roman" w:hAnsi="Times New Roman" w:cs="Times New Roman"/>
          <w:sz w:val="24"/>
          <w:szCs w:val="24"/>
        </w:rPr>
        <w:t xml:space="preserve">.10.2023 г. № </w:t>
      </w:r>
      <w:r w:rsidR="00DD732D" w:rsidRPr="00DD732D">
        <w:rPr>
          <w:rFonts w:ascii="Times New Roman" w:hAnsi="Times New Roman" w:cs="Times New Roman"/>
          <w:sz w:val="24"/>
          <w:szCs w:val="24"/>
        </w:rPr>
        <w:t>952</w:t>
      </w:r>
      <w:r w:rsidR="0071525D" w:rsidRPr="00DD732D">
        <w:rPr>
          <w:rFonts w:ascii="Times New Roman" w:hAnsi="Times New Roman" w:cs="Times New Roman"/>
          <w:sz w:val="24"/>
          <w:szCs w:val="24"/>
        </w:rPr>
        <w:t>;</w:t>
      </w:r>
    </w:p>
    <w:p w:rsidR="00AA5326" w:rsidRDefault="0071525D" w:rsidP="00DD7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другими нормативными  правовыми актами в области  государственного  регулирования  тарифов  в сфере</w:t>
      </w:r>
      <w:r w:rsidR="00E10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0DC">
        <w:rPr>
          <w:rFonts w:ascii="Times New Roman" w:hAnsi="Times New Roman" w:cs="Times New Roman"/>
          <w:sz w:val="24"/>
          <w:szCs w:val="24"/>
        </w:rPr>
        <w:t>обращения с твердыми коммунальными отходами.</w:t>
      </w:r>
    </w:p>
    <w:p w:rsidR="0071525D" w:rsidRDefault="000D6CE8" w:rsidP="00DD7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04DD">
        <w:rPr>
          <w:rFonts w:ascii="Times New Roman" w:hAnsi="Times New Roman" w:cs="Times New Roman"/>
          <w:sz w:val="24"/>
          <w:szCs w:val="24"/>
        </w:rPr>
        <w:t xml:space="preserve"> </w:t>
      </w:r>
      <w:r w:rsidRPr="003D0195">
        <w:rPr>
          <w:rFonts w:ascii="Times New Roman" w:hAnsi="Times New Roman" w:cs="Times New Roman"/>
          <w:sz w:val="24"/>
          <w:szCs w:val="24"/>
        </w:rPr>
        <w:t xml:space="preserve">Тарифы на захоронение твёрдых коммунальных отходов  </w:t>
      </w:r>
      <w:r w:rsidR="007D22FD" w:rsidRPr="003D0195">
        <w:rPr>
          <w:rFonts w:ascii="Times New Roman" w:hAnsi="Times New Roman" w:cs="Times New Roman"/>
          <w:sz w:val="24"/>
          <w:szCs w:val="24"/>
        </w:rPr>
        <w:t xml:space="preserve"> в отношен</w:t>
      </w:r>
      <w:proofErr w:type="gramStart"/>
      <w:r w:rsidR="007D22FD" w:rsidRPr="003D0195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7D22FD" w:rsidRPr="003D0195">
        <w:rPr>
          <w:rFonts w:ascii="Times New Roman" w:hAnsi="Times New Roman" w:cs="Times New Roman"/>
          <w:sz w:val="24"/>
          <w:szCs w:val="24"/>
        </w:rPr>
        <w:t xml:space="preserve"> «НАШ ГОРОД» были </w:t>
      </w:r>
      <w:r w:rsidR="00DD732D">
        <w:rPr>
          <w:rFonts w:ascii="Times New Roman" w:hAnsi="Times New Roman" w:cs="Times New Roman"/>
          <w:sz w:val="24"/>
          <w:szCs w:val="24"/>
        </w:rPr>
        <w:t>скорректированы</w:t>
      </w:r>
      <w:r w:rsidR="007D22FD" w:rsidRPr="003D0195">
        <w:rPr>
          <w:rFonts w:ascii="Times New Roman" w:hAnsi="Times New Roman" w:cs="Times New Roman"/>
          <w:sz w:val="24"/>
          <w:szCs w:val="24"/>
        </w:rPr>
        <w:t xml:space="preserve">  </w:t>
      </w:r>
      <w:r w:rsidR="00AE0D4E">
        <w:rPr>
          <w:rFonts w:ascii="Times New Roman" w:hAnsi="Times New Roman" w:cs="Times New Roman"/>
          <w:sz w:val="24"/>
          <w:szCs w:val="24"/>
        </w:rPr>
        <w:t>с применением метода индексации</w:t>
      </w:r>
      <w:r w:rsidR="007D22FD" w:rsidRPr="003D0195">
        <w:rPr>
          <w:rFonts w:ascii="Times New Roman" w:hAnsi="Times New Roman" w:cs="Times New Roman"/>
          <w:sz w:val="24"/>
          <w:szCs w:val="24"/>
        </w:rPr>
        <w:t>.</w:t>
      </w:r>
    </w:p>
    <w:p w:rsidR="007D22FD" w:rsidRDefault="007D22FD" w:rsidP="00DD7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4DD" w:rsidRDefault="00E104DD" w:rsidP="00DD7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 по установлению  тарифов РЕШИЛА:</w:t>
      </w:r>
    </w:p>
    <w:p w:rsidR="00AA5326" w:rsidRPr="00AA5326" w:rsidRDefault="00AA5326" w:rsidP="00DD732D">
      <w:pPr>
        <w:jc w:val="both"/>
        <w:rPr>
          <w:rFonts w:ascii="Times New Roman" w:hAnsi="Times New Roman" w:cs="Times New Roman"/>
          <w:sz w:val="24"/>
          <w:szCs w:val="24"/>
        </w:rPr>
      </w:pPr>
      <w:r w:rsidRPr="000F67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Pr="000F672C">
        <w:rPr>
          <w:rFonts w:ascii="Arial" w:hAnsi="Arial" w:cs="Arial"/>
        </w:rPr>
        <w:t xml:space="preserve"> </w:t>
      </w:r>
      <w:r w:rsidRPr="00AA5326">
        <w:rPr>
          <w:rFonts w:ascii="Times New Roman" w:hAnsi="Times New Roman" w:cs="Times New Roman"/>
          <w:sz w:val="24"/>
          <w:szCs w:val="24"/>
        </w:rPr>
        <w:t xml:space="preserve">1. Установить тарифы на </w:t>
      </w:r>
      <w:r w:rsidR="008E59EC">
        <w:rPr>
          <w:rFonts w:ascii="Times New Roman" w:hAnsi="Times New Roman" w:cs="Times New Roman"/>
          <w:sz w:val="24"/>
          <w:szCs w:val="24"/>
        </w:rPr>
        <w:t>захоронение  твёрдых коммунальных отходов  для потребителей ООО «НАШ ГОРОД»</w:t>
      </w:r>
      <w:r w:rsidRPr="00AA5326">
        <w:rPr>
          <w:rFonts w:ascii="Times New Roman" w:hAnsi="Times New Roman" w:cs="Times New Roman"/>
          <w:sz w:val="24"/>
          <w:szCs w:val="24"/>
        </w:rPr>
        <w:t>, находящихся на территории Вихоревского городского поселения с календарно</w:t>
      </w:r>
      <w:r w:rsidR="00B36A1F">
        <w:rPr>
          <w:rFonts w:ascii="Times New Roman" w:hAnsi="Times New Roman" w:cs="Times New Roman"/>
          <w:sz w:val="24"/>
          <w:szCs w:val="24"/>
        </w:rPr>
        <w:t>й разбивкой, согласно приложени</w:t>
      </w:r>
      <w:r w:rsidR="00DD732D">
        <w:rPr>
          <w:rFonts w:ascii="Times New Roman" w:hAnsi="Times New Roman" w:cs="Times New Roman"/>
          <w:sz w:val="24"/>
          <w:szCs w:val="24"/>
        </w:rPr>
        <w:t>ю</w:t>
      </w:r>
      <w:r w:rsidR="00B36A1F">
        <w:rPr>
          <w:rFonts w:ascii="Times New Roman" w:hAnsi="Times New Roman" w:cs="Times New Roman"/>
          <w:sz w:val="24"/>
          <w:szCs w:val="24"/>
        </w:rPr>
        <w:t xml:space="preserve"> </w:t>
      </w:r>
      <w:r w:rsidRPr="00AA5326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AA5326" w:rsidRDefault="00AA5326" w:rsidP="00DD732D">
      <w:pPr>
        <w:jc w:val="both"/>
        <w:rPr>
          <w:rFonts w:ascii="Times New Roman" w:hAnsi="Times New Roman" w:cs="Times New Roman"/>
          <w:sz w:val="24"/>
          <w:szCs w:val="24"/>
        </w:rPr>
      </w:pPr>
      <w:r w:rsidRPr="00AA5326">
        <w:rPr>
          <w:rFonts w:ascii="Times New Roman" w:hAnsi="Times New Roman" w:cs="Times New Roman"/>
          <w:sz w:val="24"/>
          <w:szCs w:val="24"/>
        </w:rPr>
        <w:t xml:space="preserve">        2. Тарифы, установленные  в пункте  1 настоящего постановления, действуют с </w:t>
      </w:r>
      <w:r w:rsidRPr="00DD732D">
        <w:rPr>
          <w:rFonts w:ascii="Times New Roman" w:hAnsi="Times New Roman" w:cs="Times New Roman"/>
          <w:sz w:val="24"/>
          <w:szCs w:val="24"/>
        </w:rPr>
        <w:t>0</w:t>
      </w:r>
      <w:r w:rsidR="008E59EC" w:rsidRPr="00DD732D">
        <w:rPr>
          <w:rFonts w:ascii="Times New Roman" w:hAnsi="Times New Roman" w:cs="Times New Roman"/>
          <w:sz w:val="24"/>
          <w:szCs w:val="24"/>
        </w:rPr>
        <w:t>1</w:t>
      </w:r>
      <w:r w:rsidRPr="00DD732D">
        <w:rPr>
          <w:rFonts w:ascii="Times New Roman" w:hAnsi="Times New Roman" w:cs="Times New Roman"/>
          <w:sz w:val="24"/>
          <w:szCs w:val="24"/>
        </w:rPr>
        <w:t>.</w:t>
      </w:r>
      <w:r w:rsidR="008E59EC" w:rsidRPr="00DD732D">
        <w:rPr>
          <w:rFonts w:ascii="Times New Roman" w:hAnsi="Times New Roman" w:cs="Times New Roman"/>
          <w:sz w:val="24"/>
          <w:szCs w:val="24"/>
        </w:rPr>
        <w:t>0</w:t>
      </w:r>
      <w:r w:rsidR="003410A6" w:rsidRPr="00DD732D">
        <w:rPr>
          <w:rFonts w:ascii="Times New Roman" w:hAnsi="Times New Roman" w:cs="Times New Roman"/>
          <w:sz w:val="24"/>
          <w:szCs w:val="24"/>
        </w:rPr>
        <w:t>7</w:t>
      </w:r>
      <w:r w:rsidR="00AE0D4E" w:rsidRPr="00DD732D">
        <w:rPr>
          <w:rFonts w:ascii="Times New Roman" w:hAnsi="Times New Roman" w:cs="Times New Roman"/>
          <w:sz w:val="24"/>
          <w:szCs w:val="24"/>
        </w:rPr>
        <w:t>.2024</w:t>
      </w:r>
      <w:r w:rsidR="00B36A1F" w:rsidRPr="00DD732D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410A6" w:rsidRPr="00DD732D">
        <w:rPr>
          <w:rFonts w:ascii="Times New Roman" w:hAnsi="Times New Roman" w:cs="Times New Roman"/>
          <w:sz w:val="24"/>
          <w:szCs w:val="24"/>
        </w:rPr>
        <w:t>30.06</w:t>
      </w:r>
      <w:r w:rsidRPr="00DD732D">
        <w:rPr>
          <w:rFonts w:ascii="Times New Roman" w:hAnsi="Times New Roman" w:cs="Times New Roman"/>
          <w:sz w:val="24"/>
          <w:szCs w:val="24"/>
        </w:rPr>
        <w:t>.20</w:t>
      </w:r>
      <w:r w:rsidR="00B36A1F" w:rsidRPr="00DD732D">
        <w:rPr>
          <w:rFonts w:ascii="Times New Roman" w:hAnsi="Times New Roman" w:cs="Times New Roman"/>
          <w:sz w:val="24"/>
          <w:szCs w:val="24"/>
        </w:rPr>
        <w:t>25</w:t>
      </w:r>
      <w:r w:rsidRPr="00DD732D">
        <w:rPr>
          <w:rFonts w:ascii="Times New Roman" w:hAnsi="Times New Roman" w:cs="Times New Roman"/>
          <w:sz w:val="24"/>
          <w:szCs w:val="24"/>
        </w:rPr>
        <w:t xml:space="preserve"> г.</w:t>
      </w:r>
      <w:r w:rsidRPr="00A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CC8" w:rsidRPr="00AA5326" w:rsidRDefault="00545CC8" w:rsidP="00DD7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gramStart"/>
      <w:r w:rsidR="0068415E">
        <w:rPr>
          <w:rFonts w:ascii="Times New Roman" w:hAnsi="Times New Roman" w:cs="Times New Roman"/>
          <w:sz w:val="24"/>
          <w:szCs w:val="24"/>
        </w:rPr>
        <w:t xml:space="preserve">На основании Основ ценообразования в области обращения с твердыми коммунальными отходами, утвержденными ПП РФ от 30 мая 2016 г. №484, </w:t>
      </w:r>
      <w:r w:rsidR="00C768F4">
        <w:rPr>
          <w:rFonts w:ascii="Times New Roman" w:hAnsi="Times New Roman" w:cs="Times New Roman"/>
          <w:sz w:val="24"/>
          <w:szCs w:val="24"/>
        </w:rPr>
        <w:t>в случае если регулируемая организация кроме регулируемых видов деятельности в области обращения с твердыми коммунальными отходами осуществляет нерегулированные виды деятельности, рекомендовать</w:t>
      </w:r>
      <w:r>
        <w:rPr>
          <w:rFonts w:ascii="Times New Roman" w:hAnsi="Times New Roman" w:cs="Times New Roman"/>
          <w:sz w:val="24"/>
          <w:szCs w:val="24"/>
        </w:rPr>
        <w:t xml:space="preserve"> ООО «Наш город» вести раздельный бухгалтерский</w:t>
      </w:r>
      <w:r w:rsidR="002A6876">
        <w:rPr>
          <w:rFonts w:ascii="Times New Roman" w:hAnsi="Times New Roman" w:cs="Times New Roman"/>
          <w:sz w:val="24"/>
          <w:szCs w:val="24"/>
        </w:rPr>
        <w:t xml:space="preserve"> и</w:t>
      </w:r>
      <w:r w:rsidR="0068415E">
        <w:rPr>
          <w:rFonts w:ascii="Times New Roman" w:hAnsi="Times New Roman" w:cs="Times New Roman"/>
          <w:sz w:val="24"/>
          <w:szCs w:val="24"/>
        </w:rPr>
        <w:t xml:space="preserve"> статистический</w:t>
      </w:r>
      <w:r>
        <w:rPr>
          <w:rFonts w:ascii="Times New Roman" w:hAnsi="Times New Roman" w:cs="Times New Roman"/>
          <w:sz w:val="24"/>
          <w:szCs w:val="24"/>
        </w:rPr>
        <w:t xml:space="preserve"> учет в отношении регулируемых и нере</w:t>
      </w:r>
      <w:r w:rsidR="00E72069">
        <w:rPr>
          <w:rFonts w:ascii="Times New Roman" w:hAnsi="Times New Roman" w:cs="Times New Roman"/>
          <w:sz w:val="24"/>
          <w:szCs w:val="24"/>
        </w:rPr>
        <w:t>гулируемых видов деятельности, для более детального</w:t>
      </w:r>
      <w:proofErr w:type="gramEnd"/>
      <w:r w:rsidR="00E72069">
        <w:rPr>
          <w:rFonts w:ascii="Times New Roman" w:hAnsi="Times New Roman" w:cs="Times New Roman"/>
          <w:sz w:val="24"/>
          <w:szCs w:val="24"/>
        </w:rPr>
        <w:t xml:space="preserve"> анализа доходов и расходов регулируемых видов деятельности в области обращения с ТКО, так как повторный учет одних и тех </w:t>
      </w:r>
      <w:r w:rsidR="00DD732D">
        <w:rPr>
          <w:rFonts w:ascii="Times New Roman" w:hAnsi="Times New Roman" w:cs="Times New Roman"/>
          <w:sz w:val="24"/>
          <w:szCs w:val="24"/>
        </w:rPr>
        <w:t xml:space="preserve">же </w:t>
      </w:r>
      <w:proofErr w:type="gramStart"/>
      <w:r w:rsidR="00E72069">
        <w:rPr>
          <w:rFonts w:ascii="Times New Roman" w:hAnsi="Times New Roman" w:cs="Times New Roman"/>
          <w:sz w:val="24"/>
          <w:szCs w:val="24"/>
        </w:rPr>
        <w:t>расходов, относимых на разные виды деятельности не допускается</w:t>
      </w:r>
      <w:proofErr w:type="gramEnd"/>
      <w:r w:rsidR="00E72069">
        <w:rPr>
          <w:rFonts w:ascii="Times New Roman" w:hAnsi="Times New Roman" w:cs="Times New Roman"/>
          <w:sz w:val="24"/>
          <w:szCs w:val="24"/>
        </w:rPr>
        <w:t>.</w:t>
      </w:r>
    </w:p>
    <w:p w:rsidR="00AA5326" w:rsidRDefault="00AA5326" w:rsidP="00DD732D">
      <w:pPr>
        <w:ind w:right="31"/>
        <w:jc w:val="both"/>
        <w:rPr>
          <w:rFonts w:ascii="Times New Roman" w:hAnsi="Times New Roman" w:cs="Times New Roman"/>
          <w:sz w:val="24"/>
          <w:szCs w:val="24"/>
        </w:rPr>
      </w:pPr>
      <w:r w:rsidRPr="00AA532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Результаты  голосования  по вышеуказанным вопросам:</w:t>
      </w:r>
    </w:p>
    <w:p w:rsidR="00AA5326" w:rsidRDefault="00AE0D4E" w:rsidP="00DD7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 - 5</w:t>
      </w:r>
      <w:r w:rsidR="00631B43">
        <w:rPr>
          <w:rFonts w:ascii="Times New Roman" w:hAnsi="Times New Roman" w:cs="Times New Roman"/>
          <w:sz w:val="24"/>
          <w:szCs w:val="24"/>
        </w:rPr>
        <w:t xml:space="preserve"> (пять</w:t>
      </w:r>
      <w:r w:rsidR="00AA5326">
        <w:rPr>
          <w:rFonts w:ascii="Times New Roman" w:hAnsi="Times New Roman" w:cs="Times New Roman"/>
          <w:sz w:val="24"/>
          <w:szCs w:val="24"/>
        </w:rPr>
        <w:t>)</w:t>
      </w:r>
    </w:p>
    <w:p w:rsidR="00AA5326" w:rsidRDefault="00AA5326" w:rsidP="00DD7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 (ноль)</w:t>
      </w:r>
    </w:p>
    <w:p w:rsidR="00AA5326" w:rsidRDefault="00AA5326" w:rsidP="00DD7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(ноль)</w:t>
      </w:r>
    </w:p>
    <w:p w:rsidR="00AA5326" w:rsidRDefault="00AA5326" w:rsidP="00DD7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</w:t>
      </w:r>
      <w:r w:rsidR="00631B43">
        <w:rPr>
          <w:rFonts w:ascii="Times New Roman" w:hAnsi="Times New Roman" w:cs="Times New Roman"/>
          <w:sz w:val="24"/>
          <w:szCs w:val="24"/>
        </w:rPr>
        <w:t xml:space="preserve">   ____</w:t>
      </w:r>
      <w:r w:rsidR="00AE0D4E">
        <w:rPr>
          <w:rFonts w:ascii="Times New Roman" w:hAnsi="Times New Roman" w:cs="Times New Roman"/>
          <w:sz w:val="24"/>
          <w:szCs w:val="24"/>
        </w:rPr>
        <w:t xml:space="preserve">__________________    </w:t>
      </w:r>
      <w:r w:rsidR="00A82544" w:rsidRPr="00A82544">
        <w:rPr>
          <w:rFonts w:ascii="Times New Roman" w:hAnsi="Times New Roman" w:cs="Times New Roman"/>
          <w:sz w:val="24"/>
          <w:szCs w:val="24"/>
        </w:rPr>
        <w:t xml:space="preserve">О.Н. </w:t>
      </w:r>
      <w:r w:rsidR="003410A6">
        <w:rPr>
          <w:rFonts w:ascii="Times New Roman" w:hAnsi="Times New Roman" w:cs="Times New Roman"/>
          <w:sz w:val="24"/>
          <w:szCs w:val="24"/>
        </w:rPr>
        <w:t>Мусина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104DD" w:rsidRPr="00AA5326" w:rsidRDefault="00A82544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A82544">
        <w:rPr>
          <w:rFonts w:ascii="Times New Roman" w:hAnsi="Times New Roman" w:cs="Times New Roman"/>
          <w:sz w:val="24"/>
          <w:szCs w:val="24"/>
        </w:rPr>
        <w:t xml:space="preserve">:               ______________________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А.Е.Золотуева</w:t>
      </w:r>
      <w:proofErr w:type="spellEnd"/>
      <w:r w:rsidRPr="00A82544">
        <w:rPr>
          <w:rFonts w:ascii="Times New Roman" w:hAnsi="Times New Roman" w:cs="Times New Roman"/>
          <w:sz w:val="24"/>
          <w:szCs w:val="24"/>
        </w:rPr>
        <w:t xml:space="preserve">      </w:t>
      </w:r>
      <w:r w:rsidR="00E104DD" w:rsidRPr="00AA53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2069" w:rsidRDefault="00E72069" w:rsidP="003B1994">
      <w:pPr>
        <w:rPr>
          <w:rFonts w:ascii="Times New Roman" w:hAnsi="Times New Roman" w:cs="Times New Roman"/>
          <w:sz w:val="24"/>
          <w:szCs w:val="24"/>
        </w:rPr>
      </w:pPr>
    </w:p>
    <w:p w:rsidR="00AE0D4E" w:rsidRDefault="003B1994" w:rsidP="00AE0D4E">
      <w:pPr>
        <w:rPr>
          <w:rFonts w:ascii="Times New Roman" w:hAnsi="Times New Roman" w:cs="Times New Roman"/>
          <w:sz w:val="24"/>
          <w:szCs w:val="24"/>
        </w:rPr>
      </w:pPr>
      <w:r w:rsidRPr="00576E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732D" w:rsidRDefault="00AE0D4E" w:rsidP="00AE0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D732D" w:rsidRDefault="00DD732D" w:rsidP="00AE0D4E">
      <w:pPr>
        <w:rPr>
          <w:rFonts w:ascii="Times New Roman" w:hAnsi="Times New Roman" w:cs="Times New Roman"/>
          <w:sz w:val="24"/>
          <w:szCs w:val="24"/>
        </w:rPr>
      </w:pPr>
    </w:p>
    <w:p w:rsidR="00AB5BD2" w:rsidRDefault="00DD732D" w:rsidP="00AE0D4E"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AE0D4E">
        <w:rPr>
          <w:rFonts w:ascii="Times New Roman" w:hAnsi="Times New Roman" w:cs="Times New Roman"/>
          <w:sz w:val="24"/>
          <w:szCs w:val="24"/>
        </w:rPr>
        <w:t xml:space="preserve"> </w:t>
      </w:r>
      <w:r w:rsidR="00AB5BD2">
        <w:rPr>
          <w:rFonts w:ascii="Arial" w:hAnsi="Arial" w:cs="Arial"/>
          <w:sz w:val="24"/>
          <w:szCs w:val="24"/>
        </w:rPr>
        <w:t xml:space="preserve">  </w:t>
      </w:r>
      <w:r w:rsidR="00AB5BD2">
        <w:t xml:space="preserve">Приложение № 1                                                                            </w:t>
      </w:r>
    </w:p>
    <w:p w:rsidR="00AB5BD2" w:rsidRDefault="00AB5BD2" w:rsidP="00AB5BD2">
      <w:pPr>
        <w:pStyle w:val="ConsPlusNonformat"/>
        <w:widowControl/>
        <w:jc w:val="right"/>
        <w:rPr>
          <w:sz w:val="22"/>
          <w:szCs w:val="22"/>
        </w:rPr>
      </w:pPr>
    </w:p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B5BD2" w:rsidRDefault="00AB5BD2" w:rsidP="00AB5BD2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ДОЛГОСРОЧНЫЕ ПРЕДЕЛЬНЫЕ ТАРИФЫ</w:t>
      </w:r>
    </w:p>
    <w:p w:rsidR="00AB5BD2" w:rsidRDefault="00AB5BD2" w:rsidP="00AB5BD2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ЗАХОРОНЕНИЕ ТВЕРДЫХ КОММУНАЛЬНЫХ ОТХОДОВ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B5BD2" w:rsidRDefault="00AB5BD2" w:rsidP="00AB5BD2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«НАШ ГОРОД»</w:t>
      </w:r>
    </w:p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tbl>
      <w:tblPr>
        <w:tblStyle w:val="a3"/>
        <w:tblW w:w="5275" w:type="pct"/>
        <w:tblInd w:w="-526" w:type="dxa"/>
        <w:tblLook w:val="0000" w:firstRow="0" w:lastRow="0" w:firstColumn="0" w:lastColumn="0" w:noHBand="0" w:noVBand="0"/>
      </w:tblPr>
      <w:tblGrid>
        <w:gridCol w:w="284"/>
        <w:gridCol w:w="1013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152BD6" w:rsidTr="003F6D1F">
        <w:trPr>
          <w:trHeight w:val="105"/>
        </w:trPr>
        <w:tc>
          <w:tcPr>
            <w:tcW w:w="9217" w:type="dxa"/>
            <w:gridSpan w:val="11"/>
          </w:tcPr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 xml:space="preserve">Тариф (руб. за 1 </w:t>
            </w:r>
            <w:proofErr w:type="spellStart"/>
            <w:r w:rsidRPr="00D0691A">
              <w:rPr>
                <w:sz w:val="22"/>
                <w:szCs w:val="22"/>
              </w:rPr>
              <w:t>куб</w:t>
            </w:r>
            <w:proofErr w:type="gramStart"/>
            <w:r w:rsidRPr="00D0691A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0691A">
              <w:rPr>
                <w:sz w:val="22"/>
                <w:szCs w:val="22"/>
              </w:rPr>
              <w:t>) НДС не облагается</w:t>
            </w:r>
          </w:p>
        </w:tc>
        <w:tc>
          <w:tcPr>
            <w:tcW w:w="880" w:type="dxa"/>
          </w:tcPr>
          <w:p w:rsidR="00152BD6" w:rsidRPr="00D0691A" w:rsidRDefault="00152BD6" w:rsidP="00F257C4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</w:tr>
      <w:tr w:rsidR="00152BD6" w:rsidRPr="0091595D" w:rsidTr="003F6D1F">
        <w:tblPrEx>
          <w:tblLook w:val="01E0" w:firstRow="1" w:lastRow="1" w:firstColumn="1" w:lastColumn="1" w:noHBand="0" w:noVBand="0"/>
        </w:tblPrEx>
        <w:tc>
          <w:tcPr>
            <w:tcW w:w="284" w:type="dxa"/>
          </w:tcPr>
          <w:p w:rsidR="00152BD6" w:rsidRPr="0091595D" w:rsidRDefault="00152BD6" w:rsidP="00F257C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152BD6" w:rsidRPr="00D0691A" w:rsidRDefault="00152BD6" w:rsidP="00F257C4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152BD6" w:rsidRPr="00AE0D4E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3410A6">
              <w:rPr>
                <w:sz w:val="22"/>
                <w:szCs w:val="22"/>
              </w:rPr>
              <w:t>с 01.01.2021                    по 30.06.2021</w:t>
            </w:r>
          </w:p>
        </w:tc>
        <w:tc>
          <w:tcPr>
            <w:tcW w:w="880" w:type="dxa"/>
          </w:tcPr>
          <w:p w:rsidR="00152BD6" w:rsidRPr="003410A6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3410A6">
              <w:rPr>
                <w:sz w:val="22"/>
                <w:szCs w:val="22"/>
              </w:rPr>
              <w:t>с</w:t>
            </w:r>
          </w:p>
          <w:p w:rsidR="00152BD6" w:rsidRPr="003410A6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3410A6">
              <w:rPr>
                <w:sz w:val="22"/>
                <w:szCs w:val="22"/>
              </w:rPr>
              <w:t>01.07.2021</w:t>
            </w:r>
          </w:p>
          <w:p w:rsidR="00152BD6" w:rsidRPr="003410A6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3410A6">
              <w:rPr>
                <w:sz w:val="22"/>
                <w:szCs w:val="22"/>
              </w:rPr>
              <w:t>по</w:t>
            </w:r>
          </w:p>
          <w:p w:rsidR="00152BD6" w:rsidRPr="00AE0D4E" w:rsidRDefault="003410A6" w:rsidP="00F257C4">
            <w:pPr>
              <w:pStyle w:val="ConsPlusNonformat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3410A6">
              <w:rPr>
                <w:sz w:val="22"/>
                <w:szCs w:val="22"/>
              </w:rPr>
              <w:t>31.10</w:t>
            </w:r>
            <w:r w:rsidR="00152BD6" w:rsidRPr="003410A6">
              <w:rPr>
                <w:sz w:val="22"/>
                <w:szCs w:val="22"/>
              </w:rPr>
              <w:t>.2021</w:t>
            </w:r>
          </w:p>
        </w:tc>
        <w:tc>
          <w:tcPr>
            <w:tcW w:w="880" w:type="dxa"/>
          </w:tcPr>
          <w:p w:rsidR="00152BD6" w:rsidRPr="00AE0D4E" w:rsidRDefault="003410A6" w:rsidP="00F257C4">
            <w:pPr>
              <w:pStyle w:val="ConsPlusNonformat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3410A6">
              <w:rPr>
                <w:sz w:val="22"/>
                <w:szCs w:val="22"/>
              </w:rPr>
              <w:t>с 01.11.2021                    по 31.12.2021</w:t>
            </w:r>
          </w:p>
        </w:tc>
        <w:tc>
          <w:tcPr>
            <w:tcW w:w="880" w:type="dxa"/>
          </w:tcPr>
          <w:p w:rsidR="00152BD6" w:rsidRPr="00D97175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97175">
              <w:rPr>
                <w:sz w:val="22"/>
                <w:szCs w:val="22"/>
              </w:rPr>
              <w:t>с</w:t>
            </w:r>
          </w:p>
          <w:p w:rsidR="00152BD6" w:rsidRPr="00D97175" w:rsidRDefault="00D97175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97175">
              <w:rPr>
                <w:sz w:val="22"/>
                <w:szCs w:val="22"/>
              </w:rPr>
              <w:t>01.01</w:t>
            </w:r>
            <w:r w:rsidR="00152BD6" w:rsidRPr="00D97175">
              <w:rPr>
                <w:sz w:val="22"/>
                <w:szCs w:val="22"/>
              </w:rPr>
              <w:t>.2022</w:t>
            </w:r>
          </w:p>
          <w:p w:rsidR="00152BD6" w:rsidRPr="00D97175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97175">
              <w:rPr>
                <w:sz w:val="22"/>
                <w:szCs w:val="22"/>
              </w:rPr>
              <w:t>по</w:t>
            </w:r>
          </w:p>
          <w:p w:rsidR="00152BD6" w:rsidRPr="00AE0D4E" w:rsidRDefault="00D97175" w:rsidP="00F257C4">
            <w:pPr>
              <w:pStyle w:val="ConsPlusNonformat"/>
              <w:widowControl/>
              <w:rPr>
                <w:sz w:val="22"/>
                <w:szCs w:val="22"/>
                <w:highlight w:val="yellow"/>
              </w:rPr>
            </w:pPr>
            <w:r w:rsidRPr="00D97175">
              <w:rPr>
                <w:sz w:val="22"/>
                <w:szCs w:val="22"/>
              </w:rPr>
              <w:t>30.06</w:t>
            </w:r>
            <w:r w:rsidR="00152BD6" w:rsidRPr="00D97175">
              <w:rPr>
                <w:sz w:val="22"/>
                <w:szCs w:val="22"/>
              </w:rPr>
              <w:t>.2022</w:t>
            </w:r>
          </w:p>
        </w:tc>
        <w:tc>
          <w:tcPr>
            <w:tcW w:w="880" w:type="dxa"/>
          </w:tcPr>
          <w:p w:rsidR="00152BD6" w:rsidRPr="00AE0D4E" w:rsidRDefault="00D97175" w:rsidP="00F257C4">
            <w:pPr>
              <w:pStyle w:val="ConsPlusNonformat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1B4A50">
              <w:rPr>
                <w:sz w:val="22"/>
                <w:szCs w:val="22"/>
              </w:rPr>
              <w:t>с 01.07.2022</w:t>
            </w:r>
            <w:r w:rsidR="001B4A50" w:rsidRPr="001B4A50">
              <w:rPr>
                <w:sz w:val="22"/>
                <w:szCs w:val="22"/>
              </w:rPr>
              <w:t xml:space="preserve">                    по 30.11.2022</w:t>
            </w:r>
          </w:p>
        </w:tc>
        <w:tc>
          <w:tcPr>
            <w:tcW w:w="880" w:type="dxa"/>
          </w:tcPr>
          <w:p w:rsidR="00152BD6" w:rsidRPr="001B4A50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1B4A50">
              <w:rPr>
                <w:sz w:val="22"/>
                <w:szCs w:val="22"/>
              </w:rPr>
              <w:t>с</w:t>
            </w:r>
          </w:p>
          <w:p w:rsidR="00152BD6" w:rsidRPr="001B4A50" w:rsidRDefault="001B4A50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1B4A50">
              <w:rPr>
                <w:sz w:val="22"/>
                <w:szCs w:val="22"/>
              </w:rPr>
              <w:t>01.12.2022</w:t>
            </w:r>
          </w:p>
          <w:p w:rsidR="00152BD6" w:rsidRPr="001B4A50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1B4A50">
              <w:rPr>
                <w:sz w:val="22"/>
                <w:szCs w:val="22"/>
              </w:rPr>
              <w:t>по</w:t>
            </w:r>
          </w:p>
          <w:p w:rsidR="00152BD6" w:rsidRPr="00AE0D4E" w:rsidRDefault="00152BD6" w:rsidP="00F257C4">
            <w:pPr>
              <w:pStyle w:val="ConsPlusNonformat"/>
              <w:widowControl/>
              <w:rPr>
                <w:sz w:val="22"/>
                <w:szCs w:val="22"/>
                <w:highlight w:val="yellow"/>
              </w:rPr>
            </w:pPr>
            <w:r w:rsidRPr="001B4A50">
              <w:rPr>
                <w:sz w:val="22"/>
                <w:szCs w:val="22"/>
              </w:rPr>
              <w:t>31.12.2023</w:t>
            </w:r>
          </w:p>
        </w:tc>
        <w:tc>
          <w:tcPr>
            <w:tcW w:w="880" w:type="dxa"/>
          </w:tcPr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с</w:t>
            </w: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01.01.2024</w:t>
            </w: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по</w:t>
            </w:r>
          </w:p>
          <w:p w:rsidR="00152BD6" w:rsidRPr="00D0691A" w:rsidRDefault="00152BD6" w:rsidP="00F257C4">
            <w:pPr>
              <w:pStyle w:val="ConsPlusNonformat"/>
              <w:widowControl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30.06.2024</w:t>
            </w:r>
          </w:p>
        </w:tc>
        <w:tc>
          <w:tcPr>
            <w:tcW w:w="880" w:type="dxa"/>
          </w:tcPr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с</w:t>
            </w: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01.07.2024</w:t>
            </w: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по</w:t>
            </w:r>
          </w:p>
          <w:p w:rsidR="00152BD6" w:rsidRPr="00D0691A" w:rsidRDefault="00152BD6" w:rsidP="00F257C4">
            <w:pPr>
              <w:pStyle w:val="ConsPlusNonformat"/>
              <w:widowControl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31.12.2024</w:t>
            </w:r>
          </w:p>
        </w:tc>
        <w:tc>
          <w:tcPr>
            <w:tcW w:w="880" w:type="dxa"/>
          </w:tcPr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с</w:t>
            </w: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01.01.2025</w:t>
            </w: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по</w:t>
            </w:r>
          </w:p>
          <w:p w:rsidR="00152BD6" w:rsidRPr="00D0691A" w:rsidRDefault="00152BD6" w:rsidP="00F257C4">
            <w:pPr>
              <w:pStyle w:val="ConsPlusNonformat"/>
              <w:widowControl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30.06.2025</w:t>
            </w:r>
          </w:p>
        </w:tc>
        <w:tc>
          <w:tcPr>
            <w:tcW w:w="880" w:type="dxa"/>
          </w:tcPr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с</w:t>
            </w: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01.07.2025</w:t>
            </w: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по</w:t>
            </w: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31.12.2025</w:t>
            </w:r>
          </w:p>
        </w:tc>
      </w:tr>
      <w:tr w:rsidR="00152BD6" w:rsidRPr="0091595D" w:rsidTr="003F6D1F">
        <w:tblPrEx>
          <w:tblLook w:val="01E0" w:firstRow="1" w:lastRow="1" w:firstColumn="1" w:lastColumn="1" w:noHBand="0" w:noVBand="0"/>
        </w:tblPrEx>
        <w:tc>
          <w:tcPr>
            <w:tcW w:w="284" w:type="dxa"/>
          </w:tcPr>
          <w:p w:rsidR="00152BD6" w:rsidRPr="0091595D" w:rsidRDefault="00152BD6" w:rsidP="00F257C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159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Захоронение твердых коммунальных отходов</w:t>
            </w:r>
            <w:r w:rsidR="003F6D1F">
              <w:rPr>
                <w:sz w:val="22"/>
                <w:szCs w:val="22"/>
              </w:rPr>
              <w:t>, 1м3</w:t>
            </w:r>
          </w:p>
        </w:tc>
        <w:tc>
          <w:tcPr>
            <w:tcW w:w="880" w:type="dxa"/>
          </w:tcPr>
          <w:p w:rsidR="00152BD6" w:rsidRPr="003F6D1F" w:rsidRDefault="00152BD6" w:rsidP="00F257C4">
            <w:pPr>
              <w:pStyle w:val="ConsPlusNonformat"/>
              <w:widowControl/>
            </w:pPr>
          </w:p>
          <w:p w:rsidR="00152BD6" w:rsidRPr="003F6D1F" w:rsidRDefault="00152BD6" w:rsidP="00F257C4">
            <w:pPr>
              <w:rPr>
                <w:rFonts w:ascii="Courier New" w:hAnsi="Courier New" w:cs="Courier New"/>
              </w:rPr>
            </w:pPr>
          </w:p>
          <w:p w:rsidR="00152BD6" w:rsidRPr="003F6D1F" w:rsidRDefault="00152BD6" w:rsidP="00F257C4">
            <w:pPr>
              <w:pStyle w:val="ConsPlusNonformat"/>
              <w:widowControl/>
              <w:jc w:val="center"/>
            </w:pPr>
            <w:r w:rsidRPr="003F6D1F">
              <w:t>96,59</w:t>
            </w:r>
          </w:p>
        </w:tc>
        <w:tc>
          <w:tcPr>
            <w:tcW w:w="880" w:type="dxa"/>
          </w:tcPr>
          <w:p w:rsidR="00152BD6" w:rsidRPr="003F6D1F" w:rsidRDefault="00152BD6" w:rsidP="00F257C4">
            <w:pPr>
              <w:pStyle w:val="ConsPlusNonformat"/>
              <w:widowControl/>
            </w:pPr>
          </w:p>
          <w:p w:rsidR="00152BD6" w:rsidRPr="003F6D1F" w:rsidRDefault="00152BD6" w:rsidP="00F257C4">
            <w:pPr>
              <w:rPr>
                <w:rFonts w:ascii="Courier New" w:hAnsi="Courier New" w:cs="Courier New"/>
              </w:rPr>
            </w:pPr>
          </w:p>
          <w:p w:rsidR="00152BD6" w:rsidRPr="003F6D1F" w:rsidRDefault="00152BD6" w:rsidP="00F257C4">
            <w:pPr>
              <w:pStyle w:val="ConsPlusNonformat"/>
              <w:widowControl/>
              <w:jc w:val="center"/>
            </w:pPr>
            <w:r w:rsidRPr="003F6D1F">
              <w:t>89,84</w:t>
            </w:r>
          </w:p>
        </w:tc>
        <w:tc>
          <w:tcPr>
            <w:tcW w:w="880" w:type="dxa"/>
          </w:tcPr>
          <w:p w:rsidR="00152BD6" w:rsidRPr="003F6D1F" w:rsidRDefault="00152BD6" w:rsidP="00F257C4">
            <w:pPr>
              <w:pStyle w:val="ConsPlusNonformat"/>
              <w:widowControl/>
            </w:pPr>
          </w:p>
          <w:p w:rsidR="00152BD6" w:rsidRPr="003F6D1F" w:rsidRDefault="00152BD6" w:rsidP="00F257C4">
            <w:pPr>
              <w:rPr>
                <w:rFonts w:ascii="Courier New" w:hAnsi="Courier New" w:cs="Courier New"/>
              </w:rPr>
            </w:pPr>
          </w:p>
          <w:p w:rsidR="00152BD6" w:rsidRPr="003F6D1F" w:rsidRDefault="003410A6" w:rsidP="00F257C4">
            <w:pPr>
              <w:pStyle w:val="ConsPlusNonformat"/>
              <w:widowControl/>
              <w:jc w:val="center"/>
            </w:pPr>
            <w:r w:rsidRPr="003F6D1F">
              <w:t>89,39</w:t>
            </w:r>
          </w:p>
        </w:tc>
        <w:tc>
          <w:tcPr>
            <w:tcW w:w="880" w:type="dxa"/>
          </w:tcPr>
          <w:p w:rsidR="00152BD6" w:rsidRPr="003F6D1F" w:rsidRDefault="00152BD6" w:rsidP="00F257C4">
            <w:pPr>
              <w:pStyle w:val="ConsPlusNonformat"/>
              <w:widowControl/>
            </w:pPr>
          </w:p>
          <w:p w:rsidR="00152BD6" w:rsidRPr="003F6D1F" w:rsidRDefault="00152BD6" w:rsidP="00F257C4">
            <w:pPr>
              <w:rPr>
                <w:rFonts w:ascii="Courier New" w:hAnsi="Courier New" w:cs="Courier New"/>
              </w:rPr>
            </w:pPr>
          </w:p>
          <w:p w:rsidR="00152BD6" w:rsidRPr="003F6D1F" w:rsidRDefault="00D97175" w:rsidP="00F257C4">
            <w:pPr>
              <w:pStyle w:val="ConsPlusNonformat"/>
              <w:widowControl/>
              <w:jc w:val="center"/>
            </w:pPr>
            <w:r w:rsidRPr="003F6D1F">
              <w:t>89,39</w:t>
            </w:r>
          </w:p>
        </w:tc>
        <w:tc>
          <w:tcPr>
            <w:tcW w:w="880" w:type="dxa"/>
          </w:tcPr>
          <w:p w:rsidR="00152BD6" w:rsidRPr="003F6D1F" w:rsidRDefault="00152BD6" w:rsidP="00F257C4">
            <w:pPr>
              <w:pStyle w:val="ConsPlusNonformat"/>
              <w:widowControl/>
            </w:pPr>
          </w:p>
          <w:p w:rsidR="00152BD6" w:rsidRPr="003F6D1F" w:rsidRDefault="00152BD6" w:rsidP="00F257C4">
            <w:pPr>
              <w:rPr>
                <w:rFonts w:ascii="Courier New" w:hAnsi="Courier New" w:cs="Courier New"/>
              </w:rPr>
            </w:pPr>
          </w:p>
          <w:p w:rsidR="00152BD6" w:rsidRPr="003F6D1F" w:rsidRDefault="001B4A50" w:rsidP="00F257C4">
            <w:pPr>
              <w:pStyle w:val="ConsPlusNonformat"/>
              <w:widowControl/>
              <w:jc w:val="center"/>
            </w:pPr>
            <w:r w:rsidRPr="003F6D1F">
              <w:t>69,48</w:t>
            </w:r>
          </w:p>
        </w:tc>
        <w:tc>
          <w:tcPr>
            <w:tcW w:w="880" w:type="dxa"/>
          </w:tcPr>
          <w:p w:rsidR="00152BD6" w:rsidRPr="003F6D1F" w:rsidRDefault="00152BD6" w:rsidP="00F257C4">
            <w:pPr>
              <w:pStyle w:val="ConsPlusNonformat"/>
              <w:widowControl/>
            </w:pPr>
          </w:p>
          <w:p w:rsidR="00152BD6" w:rsidRPr="003F6D1F" w:rsidRDefault="00152BD6" w:rsidP="00F257C4">
            <w:pPr>
              <w:rPr>
                <w:rFonts w:ascii="Courier New" w:hAnsi="Courier New" w:cs="Courier New"/>
              </w:rPr>
            </w:pPr>
          </w:p>
          <w:p w:rsidR="00152BD6" w:rsidRPr="003F6D1F" w:rsidRDefault="001B4A50" w:rsidP="00F257C4">
            <w:pPr>
              <w:pStyle w:val="ConsPlusNonformat"/>
              <w:widowControl/>
              <w:jc w:val="center"/>
            </w:pPr>
            <w:r w:rsidRPr="003F6D1F">
              <w:t>59,83</w:t>
            </w:r>
          </w:p>
        </w:tc>
        <w:tc>
          <w:tcPr>
            <w:tcW w:w="880" w:type="dxa"/>
          </w:tcPr>
          <w:p w:rsidR="00152BD6" w:rsidRPr="003F6D1F" w:rsidRDefault="00152BD6" w:rsidP="00F257C4">
            <w:pPr>
              <w:pStyle w:val="ConsPlusNonformat"/>
              <w:widowControl/>
            </w:pPr>
          </w:p>
          <w:p w:rsidR="00152BD6" w:rsidRPr="003F6D1F" w:rsidRDefault="00152BD6" w:rsidP="00F257C4">
            <w:pPr>
              <w:rPr>
                <w:rFonts w:ascii="Courier New" w:hAnsi="Courier New" w:cs="Courier New"/>
              </w:rPr>
            </w:pPr>
          </w:p>
          <w:p w:rsidR="00152BD6" w:rsidRPr="003F6D1F" w:rsidRDefault="001B4A50" w:rsidP="00F257C4">
            <w:pPr>
              <w:pStyle w:val="ConsPlusNonformat"/>
              <w:widowControl/>
              <w:jc w:val="center"/>
            </w:pPr>
            <w:r w:rsidRPr="003F6D1F">
              <w:t>59,83</w:t>
            </w:r>
          </w:p>
        </w:tc>
        <w:tc>
          <w:tcPr>
            <w:tcW w:w="880" w:type="dxa"/>
          </w:tcPr>
          <w:p w:rsidR="00152BD6" w:rsidRPr="003F6D1F" w:rsidRDefault="00152BD6" w:rsidP="00F257C4">
            <w:pPr>
              <w:pStyle w:val="ConsPlusNonformat"/>
              <w:widowControl/>
            </w:pPr>
          </w:p>
          <w:p w:rsidR="00152BD6" w:rsidRPr="003F6D1F" w:rsidRDefault="00152BD6" w:rsidP="00F257C4">
            <w:pPr>
              <w:rPr>
                <w:rFonts w:ascii="Courier New" w:hAnsi="Courier New" w:cs="Courier New"/>
              </w:rPr>
            </w:pPr>
          </w:p>
          <w:p w:rsidR="00152BD6" w:rsidRPr="003F6D1F" w:rsidRDefault="001B4A50" w:rsidP="00F257C4">
            <w:pPr>
              <w:pStyle w:val="ConsPlusNonformat"/>
              <w:widowControl/>
              <w:jc w:val="center"/>
            </w:pPr>
            <w:r w:rsidRPr="003F6D1F">
              <w:t>61,26</w:t>
            </w:r>
          </w:p>
        </w:tc>
        <w:tc>
          <w:tcPr>
            <w:tcW w:w="880" w:type="dxa"/>
          </w:tcPr>
          <w:p w:rsidR="00152BD6" w:rsidRPr="003F6D1F" w:rsidRDefault="00152BD6" w:rsidP="00F257C4">
            <w:pPr>
              <w:pStyle w:val="ConsPlusNonformat"/>
              <w:widowControl/>
            </w:pPr>
          </w:p>
          <w:p w:rsidR="00152BD6" w:rsidRPr="003F6D1F" w:rsidRDefault="00152BD6" w:rsidP="00F257C4">
            <w:pPr>
              <w:rPr>
                <w:rFonts w:ascii="Courier New" w:hAnsi="Courier New" w:cs="Courier New"/>
              </w:rPr>
            </w:pPr>
          </w:p>
          <w:p w:rsidR="00152BD6" w:rsidRPr="003F6D1F" w:rsidRDefault="001B4A50" w:rsidP="00F257C4">
            <w:pPr>
              <w:pStyle w:val="ConsPlusNonformat"/>
              <w:widowControl/>
              <w:jc w:val="center"/>
            </w:pPr>
            <w:r w:rsidRPr="003F6D1F">
              <w:t>61,26</w:t>
            </w:r>
          </w:p>
        </w:tc>
        <w:tc>
          <w:tcPr>
            <w:tcW w:w="880" w:type="dxa"/>
          </w:tcPr>
          <w:p w:rsidR="00152BD6" w:rsidRPr="003F6D1F" w:rsidRDefault="00152BD6" w:rsidP="00F257C4">
            <w:pPr>
              <w:jc w:val="center"/>
              <w:rPr>
                <w:rFonts w:ascii="Courier New" w:hAnsi="Courier New" w:cs="Courier New"/>
              </w:rPr>
            </w:pPr>
          </w:p>
          <w:p w:rsidR="00152BD6" w:rsidRPr="003F6D1F" w:rsidRDefault="00152BD6" w:rsidP="00F257C4">
            <w:pPr>
              <w:jc w:val="center"/>
              <w:rPr>
                <w:rFonts w:ascii="Courier New" w:hAnsi="Courier New" w:cs="Courier New"/>
              </w:rPr>
            </w:pPr>
          </w:p>
          <w:p w:rsidR="00152BD6" w:rsidRPr="003F6D1F" w:rsidRDefault="001B4A50" w:rsidP="00F257C4">
            <w:pPr>
              <w:pStyle w:val="ConsPlusNonformat"/>
              <w:widowControl/>
              <w:jc w:val="center"/>
            </w:pPr>
            <w:r w:rsidRPr="003F6D1F">
              <w:t>91,89</w:t>
            </w:r>
          </w:p>
        </w:tc>
      </w:tr>
      <w:tr w:rsidR="003F6D1F" w:rsidRPr="00D0691A" w:rsidTr="003F6D1F">
        <w:tblPrEx>
          <w:tblLook w:val="01E0" w:firstRow="1" w:lastRow="1" w:firstColumn="1" w:lastColumn="1" w:noHBand="0" w:noVBand="0"/>
        </w:tblPrEx>
        <w:tc>
          <w:tcPr>
            <w:tcW w:w="284" w:type="dxa"/>
          </w:tcPr>
          <w:p w:rsidR="003F6D1F" w:rsidRPr="0091595D" w:rsidRDefault="003F6D1F" w:rsidP="00D0006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3F6D1F" w:rsidRPr="00D0691A" w:rsidRDefault="003F6D1F" w:rsidP="00D00066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Захоронение твердых коммунальных отходов</w:t>
            </w:r>
            <w:r>
              <w:rPr>
                <w:sz w:val="22"/>
                <w:szCs w:val="22"/>
              </w:rPr>
              <w:t>, 1тн</w:t>
            </w:r>
          </w:p>
        </w:tc>
        <w:tc>
          <w:tcPr>
            <w:tcW w:w="880" w:type="dxa"/>
          </w:tcPr>
          <w:p w:rsidR="003F6D1F" w:rsidRPr="00D0691A" w:rsidRDefault="003F6D1F" w:rsidP="00D00066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F6D1F" w:rsidRPr="00D0691A" w:rsidRDefault="003F6D1F" w:rsidP="00D0006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6D1F" w:rsidRPr="00D0691A" w:rsidRDefault="003F6D1F" w:rsidP="00D00066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3F6D1F" w:rsidRPr="00D0691A" w:rsidRDefault="003F6D1F" w:rsidP="00D00066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F6D1F" w:rsidRPr="00D0691A" w:rsidRDefault="003F6D1F" w:rsidP="00D0006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6D1F" w:rsidRPr="00D0691A" w:rsidRDefault="003F6D1F" w:rsidP="00D00066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3F6D1F" w:rsidRPr="00D0691A" w:rsidRDefault="003F6D1F" w:rsidP="00D00066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F6D1F" w:rsidRPr="00D0691A" w:rsidRDefault="003F6D1F" w:rsidP="00D0006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6D1F" w:rsidRPr="00D0691A" w:rsidRDefault="003F6D1F" w:rsidP="00D00066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3F6D1F" w:rsidRPr="00D0691A" w:rsidRDefault="003F6D1F" w:rsidP="00D00066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F6D1F" w:rsidRPr="00D0691A" w:rsidRDefault="003F6D1F" w:rsidP="00D0006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6D1F" w:rsidRPr="00D0691A" w:rsidRDefault="003F6D1F" w:rsidP="00D00066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3F6D1F" w:rsidRPr="00D0691A" w:rsidRDefault="003F6D1F" w:rsidP="00D00066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F6D1F" w:rsidRDefault="003F6D1F" w:rsidP="00D00066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  <w:p w:rsidR="003F6D1F" w:rsidRPr="003F6D1F" w:rsidRDefault="003F6D1F" w:rsidP="00D00066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3F6D1F">
              <w:rPr>
                <w:sz w:val="18"/>
                <w:szCs w:val="18"/>
              </w:rPr>
              <w:t>421,56</w:t>
            </w:r>
          </w:p>
        </w:tc>
        <w:tc>
          <w:tcPr>
            <w:tcW w:w="880" w:type="dxa"/>
          </w:tcPr>
          <w:p w:rsidR="003F6D1F" w:rsidRPr="003F6D1F" w:rsidRDefault="003F6D1F" w:rsidP="00D00066">
            <w:pPr>
              <w:pStyle w:val="ConsPlusNonformat"/>
              <w:widowControl/>
              <w:rPr>
                <w:sz w:val="18"/>
                <w:szCs w:val="18"/>
              </w:rPr>
            </w:pPr>
          </w:p>
          <w:p w:rsidR="003F6D1F" w:rsidRPr="003F6D1F" w:rsidRDefault="003F6D1F" w:rsidP="00D00066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F6D1F" w:rsidRPr="003F6D1F" w:rsidRDefault="003F6D1F" w:rsidP="00D00066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3F6D1F">
              <w:rPr>
                <w:sz w:val="18"/>
                <w:szCs w:val="18"/>
              </w:rPr>
              <w:t>403,1</w:t>
            </w:r>
          </w:p>
        </w:tc>
        <w:tc>
          <w:tcPr>
            <w:tcW w:w="880" w:type="dxa"/>
          </w:tcPr>
          <w:p w:rsidR="003F6D1F" w:rsidRPr="003F6D1F" w:rsidRDefault="003F6D1F" w:rsidP="00D00066">
            <w:pPr>
              <w:pStyle w:val="ConsPlusNonformat"/>
              <w:widowControl/>
              <w:rPr>
                <w:sz w:val="18"/>
                <w:szCs w:val="18"/>
              </w:rPr>
            </w:pPr>
          </w:p>
          <w:p w:rsidR="003F6D1F" w:rsidRPr="003F6D1F" w:rsidRDefault="003F6D1F" w:rsidP="00D00066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F6D1F" w:rsidRPr="003F6D1F" w:rsidRDefault="003F6D1F" w:rsidP="00D00066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3F6D1F">
              <w:rPr>
                <w:sz w:val="18"/>
                <w:szCs w:val="18"/>
              </w:rPr>
              <w:t>403,1</w:t>
            </w:r>
          </w:p>
        </w:tc>
        <w:tc>
          <w:tcPr>
            <w:tcW w:w="880" w:type="dxa"/>
          </w:tcPr>
          <w:p w:rsidR="003F6D1F" w:rsidRPr="003F6D1F" w:rsidRDefault="003F6D1F" w:rsidP="00D00066">
            <w:pPr>
              <w:pStyle w:val="ConsPlusNonformat"/>
              <w:widowControl/>
              <w:rPr>
                <w:sz w:val="18"/>
                <w:szCs w:val="18"/>
              </w:rPr>
            </w:pPr>
          </w:p>
          <w:p w:rsidR="003F6D1F" w:rsidRPr="003F6D1F" w:rsidRDefault="003F6D1F" w:rsidP="00D00066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F6D1F" w:rsidRPr="003F6D1F" w:rsidRDefault="003F6D1F" w:rsidP="00D00066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3F6D1F">
              <w:rPr>
                <w:sz w:val="18"/>
                <w:szCs w:val="18"/>
              </w:rPr>
              <w:t>524,41</w:t>
            </w:r>
          </w:p>
        </w:tc>
        <w:tc>
          <w:tcPr>
            <w:tcW w:w="880" w:type="dxa"/>
          </w:tcPr>
          <w:p w:rsidR="003F6D1F" w:rsidRPr="003F6D1F" w:rsidRDefault="003F6D1F" w:rsidP="00D00066">
            <w:pPr>
              <w:pStyle w:val="ConsPlusNonformat"/>
              <w:widowControl/>
              <w:rPr>
                <w:sz w:val="18"/>
                <w:szCs w:val="18"/>
              </w:rPr>
            </w:pPr>
          </w:p>
          <w:p w:rsidR="003F6D1F" w:rsidRPr="003F6D1F" w:rsidRDefault="003F6D1F" w:rsidP="00D00066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F6D1F" w:rsidRPr="003F6D1F" w:rsidRDefault="003F6D1F" w:rsidP="00D00066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3F6D1F">
              <w:rPr>
                <w:sz w:val="18"/>
                <w:szCs w:val="18"/>
              </w:rPr>
              <w:t>524,41</w:t>
            </w:r>
          </w:p>
        </w:tc>
        <w:tc>
          <w:tcPr>
            <w:tcW w:w="880" w:type="dxa"/>
          </w:tcPr>
          <w:p w:rsidR="003F6D1F" w:rsidRPr="003F6D1F" w:rsidRDefault="003F6D1F" w:rsidP="00D0006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F6D1F" w:rsidRPr="003F6D1F" w:rsidRDefault="003F6D1F" w:rsidP="00D0006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F6D1F" w:rsidRPr="003F6D1F" w:rsidRDefault="003F6D1F" w:rsidP="00D00066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3F6D1F">
              <w:rPr>
                <w:sz w:val="18"/>
                <w:szCs w:val="18"/>
              </w:rPr>
              <w:t>382,28</w:t>
            </w:r>
          </w:p>
        </w:tc>
      </w:tr>
    </w:tbl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B1994" w:rsidRPr="00576E62" w:rsidRDefault="003B1994" w:rsidP="003B19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6E6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3B1994" w:rsidRPr="00576E62" w:rsidSect="0091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94"/>
    <w:rsid w:val="00005DE4"/>
    <w:rsid w:val="00011D5C"/>
    <w:rsid w:val="00031989"/>
    <w:rsid w:val="00072568"/>
    <w:rsid w:val="000D6CE8"/>
    <w:rsid w:val="000F6386"/>
    <w:rsid w:val="0010722F"/>
    <w:rsid w:val="0014106A"/>
    <w:rsid w:val="00152BD6"/>
    <w:rsid w:val="001B4A50"/>
    <w:rsid w:val="0023543C"/>
    <w:rsid w:val="00236B60"/>
    <w:rsid w:val="00250A25"/>
    <w:rsid w:val="002A6876"/>
    <w:rsid w:val="002C492A"/>
    <w:rsid w:val="002F77C8"/>
    <w:rsid w:val="003410A6"/>
    <w:rsid w:val="0037071B"/>
    <w:rsid w:val="0039441F"/>
    <w:rsid w:val="003B1994"/>
    <w:rsid w:val="003D0195"/>
    <w:rsid w:val="003F6D1F"/>
    <w:rsid w:val="00514289"/>
    <w:rsid w:val="00545CC8"/>
    <w:rsid w:val="005555D1"/>
    <w:rsid w:val="00576E62"/>
    <w:rsid w:val="00631B43"/>
    <w:rsid w:val="0068415E"/>
    <w:rsid w:val="00710F86"/>
    <w:rsid w:val="0071525D"/>
    <w:rsid w:val="007734AE"/>
    <w:rsid w:val="007D22FD"/>
    <w:rsid w:val="007D7A0C"/>
    <w:rsid w:val="00832D69"/>
    <w:rsid w:val="008B283D"/>
    <w:rsid w:val="008E59EC"/>
    <w:rsid w:val="00917396"/>
    <w:rsid w:val="0093549D"/>
    <w:rsid w:val="009E5EB4"/>
    <w:rsid w:val="00A16AF1"/>
    <w:rsid w:val="00A82544"/>
    <w:rsid w:val="00AA5326"/>
    <w:rsid w:val="00AB1C44"/>
    <w:rsid w:val="00AB5BD2"/>
    <w:rsid w:val="00AE0D4E"/>
    <w:rsid w:val="00AF724E"/>
    <w:rsid w:val="00B36A1F"/>
    <w:rsid w:val="00B7090E"/>
    <w:rsid w:val="00B7397A"/>
    <w:rsid w:val="00C33604"/>
    <w:rsid w:val="00C35281"/>
    <w:rsid w:val="00C42221"/>
    <w:rsid w:val="00C62762"/>
    <w:rsid w:val="00C768F4"/>
    <w:rsid w:val="00CD44B8"/>
    <w:rsid w:val="00D0222F"/>
    <w:rsid w:val="00D51B6C"/>
    <w:rsid w:val="00D638D9"/>
    <w:rsid w:val="00D65451"/>
    <w:rsid w:val="00D8010C"/>
    <w:rsid w:val="00D97175"/>
    <w:rsid w:val="00DB4C3B"/>
    <w:rsid w:val="00DD732D"/>
    <w:rsid w:val="00E0712D"/>
    <w:rsid w:val="00E104DD"/>
    <w:rsid w:val="00E118DE"/>
    <w:rsid w:val="00E72069"/>
    <w:rsid w:val="00EA6A48"/>
    <w:rsid w:val="00EF2EFB"/>
    <w:rsid w:val="00F220DC"/>
    <w:rsid w:val="00F46B54"/>
    <w:rsid w:val="00F656D5"/>
    <w:rsid w:val="00FB4FF3"/>
    <w:rsid w:val="00FB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5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AB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5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AB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ШТВ</dc:creator>
  <cp:lastModifiedBy>АННА</cp:lastModifiedBy>
  <cp:revision>5</cp:revision>
  <cp:lastPrinted>2023-10-30T04:29:00Z</cp:lastPrinted>
  <dcterms:created xsi:type="dcterms:W3CDTF">2023-10-27T06:32:00Z</dcterms:created>
  <dcterms:modified xsi:type="dcterms:W3CDTF">2023-10-30T04:31:00Z</dcterms:modified>
</cp:coreProperties>
</file>